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13,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ALLIANCEBERNSTEIN L.P.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000-29961</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13-4064930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tbl>
      <w:tblPr>
        <w:tblW w:w="10205" w:type="dxa"/>
        <w:jc w:val="center"/>
        <w:tblInd w:w="0" w:type="dxa"/>
        <w:tblLayout w:type="fixed"/>
        <w:tblCellMar>
          <w:top w:w="28" w:type="dxa"/>
          <w:left w:w="28" w:type="dxa"/>
          <w:bottom w:w="28" w:type="dxa"/>
          <w:right w:w="28" w:type="dxa"/>
        </w:tblCellMar>
      </w:tblPr>
      <w:tblGrid>
        <w:gridCol w:w="1663"/>
        <w:gridCol w:w="1454"/>
        <w:gridCol w:w="1452"/>
        <w:gridCol w:w="109"/>
        <w:gridCol w:w="109"/>
        <w:gridCol w:w="109"/>
        <w:gridCol w:w="465"/>
        <w:gridCol w:w="465"/>
        <w:gridCol w:w="467"/>
        <w:gridCol w:w="109"/>
        <w:gridCol w:w="109"/>
        <w:gridCol w:w="109"/>
        <w:gridCol w:w="1046"/>
        <w:gridCol w:w="1046"/>
        <w:gridCol w:w="1493"/>
      </w:tblGrid>
      <w:tr>
        <w:trPr/>
        <w:tc>
          <w:tcPr>
            <w:tcW w:w="166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of limited partnership interest in AllianceBernstein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8475"/>
                <wp:effectExtent l="0" t="0" r="0" b="0"/>
                <wp:wrapNone/>
                <wp:docPr id="2" name="Frame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7.01.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July 13, 2026 announcing AB’s preliminary assets under management as of June 30, 2026. The AUM Release is attached hereto as Exhibit 99.01.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9.01.    </w:t>
      </w:r>
      <w:r>
        <w:rPr>
          <w:rFonts w:ascii="Times New Roman;serif" w:hAnsi="Times New Roman;serif"/>
          <w:b/>
          <w:color w:val="000000"/>
          <w:sz w:val="24"/>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juneaumrelease.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8475"/>
                <wp:effectExtent l="0" t="0" r="0" b="0"/>
                <wp:wrapNone/>
                <wp:docPr id="3" name="Frame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87" w:type="dxa"/>
        <w:jc w:val="center"/>
        <w:tblInd w:w="0" w:type="dxa"/>
        <w:tblLayout w:type="fixed"/>
        <w:tblCellMar>
          <w:top w:w="28" w:type="dxa"/>
          <w:left w:w="28" w:type="dxa"/>
          <w:bottom w:w="28" w:type="dxa"/>
          <w:right w:w="28" w:type="dxa"/>
        </w:tblCellMar>
      </w:tblPr>
      <w:tblGrid>
        <w:gridCol w:w="760"/>
        <w:gridCol w:w="668"/>
        <w:gridCol w:w="671"/>
        <w:gridCol w:w="109"/>
        <w:gridCol w:w="109"/>
        <w:gridCol w:w="109"/>
        <w:gridCol w:w="507"/>
        <w:gridCol w:w="507"/>
        <w:gridCol w:w="507"/>
        <w:gridCol w:w="597"/>
        <w:gridCol w:w="597"/>
        <w:gridCol w:w="84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w:t>
            </w:r>
            <w:r>
              <w:rPr>
                <w:rFonts w:ascii="Times New Roman;serif" w:hAnsi="Times New Roman;serif"/>
                <w:b w:val="false"/>
                <w:color w:val="000000"/>
                <w:sz w:val="28"/>
              </w:rPr>
              <w:t>B</w:t>
            </w:r>
            <w:r>
              <w:rPr>
                <w:rFonts w:ascii="Times New Roman;serif" w:hAnsi="Times New Roman;serif"/>
                <w:b w:val="false"/>
                <w:color w:val="000000"/>
                <w:sz w:val="24"/>
              </w:rPr>
              <w:t>ERNSTEIN L.P.</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July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4"/>
              </w:rPr>
              <w:br/>
              <w:br/>
            </w:r>
            <w:r>
              <w:rPr>
                <w:rFonts w:ascii="Times New Roman;serif" w:hAnsi="Times New Roman;serif"/>
                <w:b w:val="false"/>
                <w:color w:val="000000"/>
                <w:sz w:val="24"/>
              </w:rPr>
              <w:t>/s/ Mark Manley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spacing w:before="0" w:after="0"/>
        <w:ind w:left="0" w:right="0" w:firstLine="43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8475"/>
                <wp:effectExtent l="0" t="0" r="0" b="0"/>
                <wp:wrapNone/>
                <wp:docPr id="4" name="Frame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June 30,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July 13, 2026 - AllianceBernstein L.P. (“AB”) and AllianceBernstein Holding L.P. (“AB Holding”) (NYSE: AB) today announced that preliminary assets under management increased to $905 billion at the end of June 2026, from $899 billion at the end of May. The increase was primarily driven by firmwide net inflows, including a large low-fee passive fixed income mandate, as markets had a largely neutral impact on AUM during the month. Net flows were positive across all three distribution channels in June, led by Retail, followed by Institutions and Private Wealth. For the quarter ended June 30, 2026, preliminary firmwide net inflows totaled $0.7 billion.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May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370</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315</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899</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March 31,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Including both the general partnership and limited partnership interest in AllianceBernstein Holding and AllianceBernstein, Equitable Holdings, Inc. ("EQH"), owned an approximate 68.1%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1015</Words>
  <Characters>5887</Characters>
  <CharactersWithSpaces>6800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