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13, 2026 (October 12,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ALLIANCEBERNSTEIN L.P.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000-29961</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13-4064930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1155"/>
                <wp:effectExtent l="0" t="0" r="0" b="0"/>
                <wp:wrapNone/>
                <wp:docPr id="1" name="Frame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tbl>
      <w:tblPr>
        <w:tblW w:w="10205" w:type="dxa"/>
        <w:jc w:val="center"/>
        <w:tblInd w:w="0" w:type="dxa"/>
        <w:tblLayout w:type="fixed"/>
        <w:tblCellMar>
          <w:top w:w="28" w:type="dxa"/>
          <w:left w:w="28" w:type="dxa"/>
          <w:bottom w:w="28" w:type="dxa"/>
          <w:right w:w="28" w:type="dxa"/>
        </w:tblCellMar>
      </w:tblPr>
      <w:tblGrid>
        <w:gridCol w:w="1663"/>
        <w:gridCol w:w="1454"/>
        <w:gridCol w:w="1452"/>
        <w:gridCol w:w="109"/>
        <w:gridCol w:w="109"/>
        <w:gridCol w:w="109"/>
        <w:gridCol w:w="465"/>
        <w:gridCol w:w="465"/>
        <w:gridCol w:w="467"/>
        <w:gridCol w:w="109"/>
        <w:gridCol w:w="109"/>
        <w:gridCol w:w="109"/>
        <w:gridCol w:w="1046"/>
        <w:gridCol w:w="1046"/>
        <w:gridCol w:w="1493"/>
      </w:tblGrid>
      <w:tr>
        <w:trPr/>
        <w:tc>
          <w:tcPr>
            <w:tcW w:w="166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of limited partnership interest in AllianceBernstein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8475"/>
                <wp:effectExtent l="0" t="0" r="0" b="0"/>
                <wp:wrapNone/>
                <wp:docPr id="2" name="Frame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Item 7.01.    </w:t>
      </w:r>
      <w:r>
        <w:rPr>
          <w:rFonts w:ascii="Times New Roman;serif" w:hAnsi="Times New Roman;serif"/>
          <w:b/>
          <w:color w:val="000000"/>
          <w:sz w:val="24"/>
          <w:u w:val="single"/>
        </w:rPr>
        <w:t>Regulation FD Disclosure.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AllianceBernstein L.P. (“</w:t>
      </w:r>
      <w:r>
        <w:rPr>
          <w:rFonts w:ascii="Times New Roman;serif" w:hAnsi="Times New Roman;serif"/>
          <w:b w:val="false"/>
          <w:color w:val="000000"/>
          <w:sz w:val="24"/>
          <w:u w:val="single"/>
        </w:rPr>
        <w:t>AB</w:t>
      </w:r>
      <w:r>
        <w:rPr>
          <w:color w:val="000000"/>
        </w:rPr>
        <w:t>”</w:t>
      </w:r>
      <w:r>
        <w:rPr>
          <w:rFonts w:ascii="Times New Roman;serif" w:hAnsi="Times New Roman;serif"/>
          <w:b w:val="false"/>
          <w:color w:val="000000"/>
          <w:sz w:val="24"/>
        </w:rPr>
        <w:t>) and AllianceBernstein Holding L.P. are furnishing a news release (“</w:t>
      </w:r>
      <w:r>
        <w:rPr>
          <w:rFonts w:ascii="Times New Roman;serif" w:hAnsi="Times New Roman;serif"/>
          <w:b w:val="false"/>
          <w:color w:val="000000"/>
          <w:sz w:val="24"/>
          <w:u w:val="single"/>
        </w:rPr>
        <w:t>AUM Release</w:t>
      </w:r>
      <w:r>
        <w:rPr>
          <w:color w:val="000000"/>
        </w:rPr>
        <w:t>”</w:t>
      </w:r>
      <w:r>
        <w:rPr>
          <w:rFonts w:ascii="Times New Roman;serif" w:hAnsi="Times New Roman;serif"/>
          <w:b w:val="false"/>
          <w:color w:val="000000"/>
          <w:sz w:val="24"/>
        </w:rPr>
        <w:t>) issued on October 12, 2026 announcing AB’s preliminary assets under management as of September 30, 2026. The AUM Release is attached hereto as Exhibit 99.01.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Item 9.01.    </w:t>
      </w:r>
      <w:r>
        <w:rPr>
          <w:rFonts w:ascii="Times New Roman;serif" w:hAnsi="Times New Roman;serif"/>
          <w:b/>
          <w:color w:val="000000"/>
          <w:sz w:val="24"/>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45"/>
        <w:jc w:val="both"/>
        <w:rPr/>
      </w:pPr>
      <w:r>
        <w:rPr>
          <w:rFonts w:ascii="Times New Roman;serif" w:hAnsi="Times New Roman;serif"/>
          <w:b w:val="false"/>
          <w:color w:val="000000"/>
          <w:sz w:val="24"/>
        </w:rPr>
        <w:t>99.01    </w:t>
      </w:r>
      <w:hyperlink w:anchor="ex9901ab2026septemberaumre.htm">
        <w:r>
          <w:rPr>
            <w:rStyle w:val="InternetLink"/>
            <w:rFonts w:ascii="Times New Roman;serif" w:hAnsi="Times New Roman;serif"/>
            <w:b w:val="false"/>
            <w:color w:val="0000FF"/>
            <w:sz w:val="24"/>
            <w:u w:val="single"/>
          </w:rPr>
          <w:t>AUM Release.</w:t>
        </w:r>
      </w:hyperlink>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8475"/>
                <wp:effectExtent l="0" t="0" r="0" b="0"/>
                <wp:wrapNone/>
                <wp:docPr id="3" name="Frame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362" w:type="dxa"/>
        <w:jc w:val="center"/>
        <w:tblInd w:w="0" w:type="dxa"/>
        <w:tblLayout w:type="fixed"/>
        <w:tblCellMar>
          <w:top w:w="28" w:type="dxa"/>
          <w:left w:w="28" w:type="dxa"/>
          <w:bottom w:w="28" w:type="dxa"/>
          <w:right w:w="28" w:type="dxa"/>
        </w:tblCellMar>
      </w:tblPr>
      <w:tblGrid>
        <w:gridCol w:w="896"/>
        <w:gridCol w:w="787"/>
        <w:gridCol w:w="791"/>
        <w:gridCol w:w="109"/>
        <w:gridCol w:w="109"/>
        <w:gridCol w:w="109"/>
        <w:gridCol w:w="507"/>
        <w:gridCol w:w="507"/>
        <w:gridCol w:w="507"/>
        <w:gridCol w:w="597"/>
        <w:gridCol w:w="597"/>
        <w:gridCol w:w="84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w:t>
            </w:r>
            <w:r>
              <w:rPr>
                <w:rFonts w:ascii="Times New Roman;serif" w:hAnsi="Times New Roman;serif"/>
                <w:b w:val="false"/>
                <w:color w:val="000000"/>
                <w:sz w:val="28"/>
              </w:rPr>
              <w:t>B</w:t>
            </w:r>
            <w:r>
              <w:rPr>
                <w:rFonts w:ascii="Times New Roman;serif" w:hAnsi="Times New Roman;serif"/>
                <w:b w:val="false"/>
                <w:color w:val="000000"/>
                <w:sz w:val="24"/>
              </w:rPr>
              <w:t>ERNSTEIN L.P.</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October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4"/>
              </w:rPr>
              <w:br/>
              <w:br/>
            </w:r>
            <w:r>
              <w:rPr>
                <w:rFonts w:ascii="Times New Roman;serif" w:hAnsi="Times New Roman;serif"/>
                <w:b w:val="false"/>
                <w:color w:val="000000"/>
                <w:sz w:val="24"/>
              </w:rPr>
              <w:t>/s/ Mark Manley</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spacing w:before="0" w:after="0"/>
        <w:ind w:left="0" w:right="0" w:firstLine="43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8475"/>
                <wp:effectExtent l="0" t="0" r="0" b="0"/>
                <wp:wrapNone/>
                <wp:docPr id="4" name="Frame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br/>
                        <w:br/>
                      </w:r>
                    </w:p>
                  </w:txbxContent>
                </v:textbox>
                <w10:wrap type="none"/>
              </v:rect>
            </w:pict>
          </mc:Fallback>
        </mc:AlternateContent>
      </w:r>
    </w:p>
    <w:tbl>
      <w:tblPr>
        <w:tblW w:w="7633"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997"/>
        <w:gridCol w:w="997"/>
        <w:gridCol w:w="1412"/>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Ioanis Jorgali, Investors</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ioanis.jorgali@alliancebernstein.com</w:t>
            </w:r>
          </w:p>
        </w:tc>
        <w:tc>
          <w:tcPr>
            <w:tcW w:w="340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629.213.5568</w:t>
            </w:r>
          </w:p>
          <w:p>
            <w:pPr>
              <w:pStyle w:val="TableContents"/>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carly.symington@alliancebernstein.com</w:t>
            </w:r>
          </w:p>
        </w:tc>
      </w:tr>
    </w:tbl>
    <w:p>
      <w:pPr>
        <w:pStyle w:val="TextBody"/>
        <w:bidi w:val="0"/>
        <w:spacing w:before="60" w:after="283"/>
        <w:jc w:val="center"/>
        <w:rPr/>
      </w:pPr>
      <w:r>
        <w:rPr/>
      </w:r>
    </w:p>
    <w:p>
      <w:pPr>
        <w:pStyle w:val="TextBody"/>
        <w:bidi w:val="0"/>
        <w:spacing w:lineRule="auto" w:line="345" w:before="0" w:after="120"/>
        <w:jc w:val="center"/>
        <w:rPr>
          <w:rFonts w:ascii="Arial;sans-serif" w:hAnsi="Arial;sans-serif"/>
          <w:b/>
          <w:color w:val="000000"/>
          <w:sz w:val="26"/>
        </w:rPr>
      </w:pPr>
      <w:r>
        <w:rPr>
          <w:rFonts w:ascii="Arial;sans-serif" w:hAnsi="Arial;sans-serif"/>
          <w:b/>
          <w:color w:val="000000"/>
          <w:sz w:val="26"/>
        </w:rPr>
        <w:t>AB Announces September 30, 2026 Assets Under Management</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Nashville, TN, October 12, 2026 - AllianceBernstein L.P. (“AB”) and AllianceBernstein Holding L.P. (“AB Holding”) (NYSE: AB) announced today that preliminary assets under management decreased to $900 billion during September 2026 from $919 billion at the end of August. The 2% decline in month-end AUM was primarily driven by market depreciation, coupled with net outflows during the month. By channel, Institutional generated net inflows, which were partially offset by net outflows in Retail and Private Wealth. For the quarter ended September 30, 2026, preliminary firmwide net inflows totaled approximately $6.0 billion. </w:t>
      </w:r>
    </w:p>
    <w:tbl>
      <w:tblPr>
        <w:tblW w:w="10205" w:type="dxa"/>
        <w:jc w:val="center"/>
        <w:tblInd w:w="0" w:type="dxa"/>
        <w:tblLayout w:type="fixed"/>
        <w:tblCellMar>
          <w:top w:w="28" w:type="dxa"/>
          <w:left w:w="28" w:type="dxa"/>
          <w:bottom w:w="28" w:type="dxa"/>
          <w:right w:w="28" w:type="dxa"/>
        </w:tblCellMar>
      </w:tblPr>
      <w:tblGrid>
        <w:gridCol w:w="1221"/>
        <w:gridCol w:w="1060"/>
        <w:gridCol w:w="1077"/>
        <w:gridCol w:w="128"/>
        <w:gridCol w:w="128"/>
        <w:gridCol w:w="128"/>
        <w:gridCol w:w="140"/>
        <w:gridCol w:w="140"/>
        <w:gridCol w:w="141"/>
        <w:gridCol w:w="128"/>
        <w:gridCol w:w="128"/>
        <w:gridCol w:w="132"/>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09"/>
        <w:gridCol w:w="109"/>
        <w:gridCol w:w="109"/>
        <w:gridCol w:w="109"/>
        <w:gridCol w:w="109"/>
        <w:gridCol w:w="109"/>
        <w:gridCol w:w="109"/>
        <w:gridCol w:w="140"/>
        <w:gridCol w:w="140"/>
        <w:gridCol w:w="141"/>
        <w:gridCol w:w="109"/>
        <w:gridCol w:w="109"/>
        <w:gridCol w:w="155"/>
      </w:tblGrid>
      <w:tr>
        <w:trPr/>
        <w:tc>
          <w:tcPr>
            <w:tcW w:w="122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AllianceBernstein L.P. (The Operating Partnership)</w:t>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Assets Under Management ($ in Billions)</w:t>
            </w:r>
          </w:p>
        </w:tc>
      </w:tr>
      <w:tr>
        <w:trPr/>
        <w:tc>
          <w:tcPr>
            <w:tcW w:w="10205" w:type="dxa"/>
            <w:gridSpan w:val="60"/>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Aug 31,</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Private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Total</w:t>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Equity</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Actively Managed</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273</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80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Equity</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364</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Fixed Income</w:t>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Taxable</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Tax-Exempt</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Passive</w:t>
            </w:r>
          </w:p>
        </w:tc>
        <w:tc>
          <w:tcPr>
            <w:tcW w:w="66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 Fixed Income</w:t>
            </w:r>
          </w:p>
        </w:tc>
        <w:tc>
          <w:tcPr>
            <w:tcW w:w="8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38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323</w:t>
            </w:r>
          </w:p>
        </w:tc>
        <w:tc>
          <w:tcPr>
            <w:tcW w:w="3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color w:val="000000"/>
                <w:sz w:val="20"/>
              </w:rPr>
              <w:t>Alternatives/Multi-Asset Solutions</w:t>
            </w:r>
            <w:r>
              <w:rPr>
                <w:rFonts w:ascii="Arial;sans-serif" w:hAnsi="Arial;sans-serif"/>
                <w:b/>
                <w:color w:val="000000"/>
                <w:sz w:val="13"/>
              </w:rPr>
              <w:t>(1)</w:t>
            </w:r>
          </w:p>
        </w:tc>
        <w:tc>
          <w:tcPr>
            <w:tcW w:w="805"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181</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232</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383</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352</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165</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900</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919</w:t>
            </w:r>
          </w:p>
        </w:tc>
        <w:tc>
          <w:tcPr>
            <w:tcW w:w="37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20"/>
              </w:rPr>
            </w:pPr>
            <w:r>
              <w:rPr>
                <w:rFonts w:ascii="Arial;sans-serif" w:hAnsi="Arial;sans-serif"/>
                <w:b/>
                <w:color w:val="000000"/>
                <w:sz w:val="20"/>
              </w:rPr>
              <w:t>At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Total</w:t>
            </w:r>
          </w:p>
        </w:tc>
        <w:tc>
          <w:tcPr>
            <w:tcW w:w="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389</w:t>
            </w:r>
          </w:p>
        </w:tc>
        <w:tc>
          <w:tcPr>
            <w:tcW w:w="388"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361</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20"/>
              </w:rPr>
            </w:pPr>
            <w:r>
              <w:rPr>
                <w:rFonts w:ascii="Arial;sans-serif" w:hAnsi="Arial;sans-serif"/>
                <w:b/>
                <w:color w:val="000000"/>
                <w:sz w:val="20"/>
              </w:rPr>
              <w:t>$</w:t>
            </w:r>
          </w:p>
        </w:tc>
        <w:tc>
          <w:tcPr>
            <w:tcW w:w="42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919</w:t>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0"/>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8"/>
              </w:rPr>
              <w:t>Includes certain multi-asset solutions and services not included in equity or fixed income services.</w:t>
            </w:r>
          </w:p>
        </w:tc>
      </w:tr>
      <w:tr>
        <w:trPr/>
        <w:tc>
          <w:tcPr>
            <w:tcW w:w="10205" w:type="dxa"/>
            <w:gridSpan w:val="6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1</w:t>
                      </w:r>
                      <w:r>
                        <w:rPr>
                          <w:color w:val="000000"/>
                        </w:rPr>
                        <w:t xml:space="preserve"> </w:t>
                      </w:r>
                      <w:r>
                        <w:rPr>
                          <w:rFonts w:ascii="Arial Narrow;sans-serif" w:hAnsi="Arial Narrow;sans-serif"/>
                          <w:b w:val="false"/>
                          <w:color w:val="000000"/>
                          <w:sz w:val="16"/>
                        </w:rPr>
                        <w:t>of 2</w:t>
                      </w:r>
                    </w:p>
                  </w:txbxContent>
                </v:textbox>
                <w10:wrap type="none"/>
              </v:rect>
            </w:pict>
          </mc:Fallback>
        </mc:AlternateContent>
      </w:r>
    </w:p>
    <w:p>
      <w:pPr>
        <w:pStyle w:val="TextBody"/>
        <w:bidi w:val="0"/>
        <w:spacing w:lineRule="auto" w:line="345" w:before="0" w:after="10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or Form 10-Q for the quarter ended June 30, 2026. Any or all of the forward-looking statements made in this news release, Form 10-K, Form 10-Q, other documents AB files with or furnishes to the SEC and any other public statements issued by AB, may turn out to be wrong. It is important to remember that other factors besides those listed in “Risk Factors” and “Cautions Regarding Forward-Looking Statements”, and those listed above, could also adversely affect AB’s financial condition, results of operations and business prospects.</w: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September 30, 2026, including both the general partnership and limited partnership interests in AllianceBernstein, AllianceBernstein Holding owned approximately 31.1% of AllianceBernstein. Including both the general partnership and limited partnership interests in AllianceBernstein Holding and AllianceBernstein, Equitable Holdings, Inc. ("EQH"), owned an approximate 68.3% economic interest in AllianceBernstein.</w:t>
      </w:r>
    </w:p>
    <w:p>
      <w:pPr>
        <w:pStyle w:val="TextBody"/>
        <w:bidi w:val="0"/>
        <w:spacing w:lineRule="auto" w:line="391" w:before="0" w:after="0"/>
        <w:jc w:val="left"/>
        <w:rPr/>
      </w:pPr>
      <w:r>
        <w:rPr>
          <w:rFonts w:ascii="Arial;sans-serif" w:hAnsi="Arial;sans-serif"/>
          <w:b w:val="false"/>
          <w:color w:val="000000"/>
          <w:sz w:val="20"/>
        </w:rPr>
        <w:t xml:space="preserve">Additional information about AB may be found on our website, </w:t>
      </w:r>
      <w:r>
        <w:rPr>
          <w:rFonts w:ascii="Arial;sans-serif" w:hAnsi="Arial;sans-serif"/>
          <w:b w:val="false"/>
          <w:color w:val="0000FF"/>
          <w:sz w:val="20"/>
          <w:u w:val="single"/>
        </w:rPr>
        <w:t>www.alliancebernstein.com</w:t>
      </w:r>
      <w:r>
        <w:rPr>
          <w:rFonts w:ascii="Arial;sans-serif" w:hAnsi="Arial;sans-serif"/>
          <w:b w:val="false"/>
          <w:color w:val="000000"/>
          <w:sz w:val="20"/>
        </w:rPr>
        <w:t>.</w:t>
      </w:r>
    </w:p>
    <w:p>
      <w:pPr>
        <w:pStyle w:val="TextBody"/>
        <w:bidi w:val="0"/>
        <w:spacing w:before="0" w:after="18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pPr>
                      <w:r>
                        <w:rPr>
                          <w:rFonts w:ascii="Arial;sans-serif" w:hAnsi="Arial;sans-serif"/>
                          <w:b w:val="false"/>
                          <w:color w:val="000000"/>
                          <w:sz w:val="16"/>
                        </w:rPr>
                        <w:t>www.alliancebernstein.com    2</w:t>
                      </w:r>
                      <w:r>
                        <w:rPr>
                          <w:color w:val="000000"/>
                        </w:rPr>
                        <w:t xml:space="preserve"> </w:t>
                      </w:r>
                      <w:r>
                        <w:rPr>
                          <w:rFonts w:ascii="Arial Narrow;sans-serif" w:hAnsi="Arial Narrow;sans-serif"/>
                          <w:b w:val="false"/>
                          <w:color w:val="000000"/>
                          <w:sz w:val="16"/>
                        </w:rPr>
                        <w:t xml:space="preserve">of </w:t>
                      </w:r>
                      <w:r>
                        <w:rPr>
                          <w:rFonts w:ascii="Arial;sans-serif" w:hAnsi="Arial;sans-serif"/>
                          <w:b w:val="false"/>
                          <w:color w:val="000000"/>
                          <w:sz w:val="16"/>
                        </w:rPr>
                        <w:t>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1004</Words>
  <Characters>5904</Characters>
  <CharactersWithSpaces>6805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