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No.  000-29961 </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 xml:space="preserve">ALLIANCEBERNSTEIN L.P.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13-4064930</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501 Commerce Street, Nashville, TN  37203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(615) 622-0000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2120"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115"/>
        <w:gridCol w:w="115"/>
        <w:gridCol w:w="116"/>
        <w:gridCol w:w="109"/>
        <w:gridCol w:w="109"/>
        <w:gridCol w:w="109"/>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2120"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115"/>
        <w:gridCol w:w="115"/>
        <w:gridCol w:w="116"/>
        <w:gridCol w:w="109"/>
        <w:gridCol w:w="109"/>
        <w:gridCol w:w="109"/>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 (Check one):</w:t>
      </w:r>
    </w:p>
    <w:tbl>
      <w:tblPr>
        <w:tblW w:w="10205" w:type="dxa"/>
        <w:jc w:val="center"/>
        <w:tblInd w:w="0" w:type="dxa"/>
        <w:tblLayout w:type="fixed"/>
        <w:tblCellMar>
          <w:top w:w="28" w:type="dxa"/>
          <w:left w:w="28" w:type="dxa"/>
          <w:bottom w:w="28" w:type="dxa"/>
          <w:right w:w="28" w:type="dxa"/>
        </w:tblCellMar>
      </w:tblPr>
      <w:tblGrid>
        <w:gridCol w:w="1639"/>
        <w:gridCol w:w="1255"/>
        <w:gridCol w:w="1239"/>
        <w:gridCol w:w="214"/>
        <w:gridCol w:w="214"/>
        <w:gridCol w:w="214"/>
        <w:gridCol w:w="214"/>
        <w:gridCol w:w="214"/>
        <w:gridCol w:w="214"/>
        <w:gridCol w:w="1348"/>
        <w:gridCol w:w="1348"/>
        <w:gridCol w:w="1352"/>
        <w:gridCol w:w="214"/>
        <w:gridCol w:w="214"/>
        <w:gridCol w:w="312"/>
      </w:tblGrid>
      <w:tr>
        <w:trPr/>
        <w:tc>
          <w:tcPr>
            <w:tcW w:w="163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41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color w:val="000000"/>
                <w:sz w:val="20"/>
              </w:rPr>
            </w:pPr>
            <w:r>
              <w:rPr>
                <w:rFonts w:ascii="Times New Roman;serif" w:hAnsi="Times New Roman;serif"/>
                <w:b/>
                <w:color w:val="000000"/>
                <w:sz w:val="20"/>
              </w:rPr>
              <w:t xml:space="preserve">Large accelerated filer </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Accelerated filer </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color w:val="000000"/>
                <w:sz w:val="20"/>
              </w:rPr>
            </w:pPr>
            <w:r>
              <w:rPr>
                <w:rFonts w:ascii="Times New Roman;serif" w:hAnsi="Times New Roman;serif"/>
                <w:b/>
                <w:color w:val="000000"/>
                <w:sz w:val="20"/>
              </w:rPr>
              <w:t xml:space="preserve">Non-accelerated filer </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Smaller reporting company </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Emerging growth company </w:t>
            </w:r>
          </w:p>
        </w:tc>
        <w:tc>
          <w:tcPr>
            <w:tcW w:w="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tbl>
      <w:tblPr>
        <w:tblW w:w="2120"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115"/>
        <w:gridCol w:w="115"/>
        <w:gridCol w:w="116"/>
        <w:gridCol w:w="109"/>
        <w:gridCol w:w="109"/>
        <w:gridCol w:w="109"/>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12(g) of the Act:</w:t>
      </w:r>
    </w:p>
    <w:tbl>
      <w:tblPr>
        <w:tblW w:w="7882" w:type="dxa"/>
        <w:jc w:val="center"/>
        <w:tblInd w:w="0" w:type="dxa"/>
        <w:tblLayout w:type="fixed"/>
        <w:tblCellMar>
          <w:top w:w="28" w:type="dxa"/>
          <w:left w:w="28" w:type="dxa"/>
          <w:bottom w:w="28" w:type="dxa"/>
          <w:right w:w="28" w:type="dxa"/>
        </w:tblCellMar>
      </w:tblPr>
      <w:tblGrid>
        <w:gridCol w:w="620"/>
        <w:gridCol w:w="542"/>
        <w:gridCol w:w="548"/>
        <w:gridCol w:w="109"/>
        <w:gridCol w:w="109"/>
        <w:gridCol w:w="109"/>
        <w:gridCol w:w="499"/>
        <w:gridCol w:w="499"/>
        <w:gridCol w:w="501"/>
        <w:gridCol w:w="109"/>
        <w:gridCol w:w="109"/>
        <w:gridCol w:w="109"/>
        <w:gridCol w:w="1174"/>
        <w:gridCol w:w="1174"/>
        <w:gridCol w:w="1671"/>
      </w:tblGrid>
      <w:tr>
        <w:trPr/>
        <w:tc>
          <w:tcPr>
            <w:tcW w:w="62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None</w:t>
            </w:r>
          </w:p>
        </w:tc>
      </w:tr>
    </w:tbl>
    <w:p>
      <w:pPr>
        <w:pStyle w:val="TextBody"/>
        <w:bidi w:val="0"/>
        <w:spacing w:before="0" w:after="0"/>
        <w:jc w:val="both"/>
        <w:rPr/>
      </w:pPr>
      <w:r>
        <w:rPr/>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number of units of limited partnership interest outstanding as of June 30, 2026 was 294,295,573.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ALLIANCEBERNSTEIN L.P.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Index to Form 10-Q</w:t>
      </w:r>
    </w:p>
    <w:tbl>
      <w:tblPr>
        <w:tblW w:w="8746" w:type="dxa"/>
        <w:jc w:val="left"/>
        <w:tblInd w:w="0" w:type="dxa"/>
        <w:tblLayout w:type="fixed"/>
        <w:tblCellMar>
          <w:top w:w="28" w:type="dxa"/>
          <w:left w:w="28" w:type="dxa"/>
          <w:bottom w:w="28" w:type="dxa"/>
          <w:right w:w="28" w:type="dxa"/>
        </w:tblCellMar>
      </w:tblPr>
      <w:tblGrid>
        <w:gridCol w:w="293"/>
        <w:gridCol w:w="258"/>
        <w:gridCol w:w="259"/>
        <w:gridCol w:w="2450"/>
        <w:gridCol w:w="2450"/>
        <w:gridCol w:w="2465"/>
        <w:gridCol w:w="167"/>
        <w:gridCol w:w="167"/>
        <w:gridCol w:w="237"/>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Part I</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FINANCIAL INFORMATION</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6de8b7f9764abdb94b611ce4eb57be_13">
              <w:r>
                <w:rPr>
                  <w:rStyle w:val="InternetLink"/>
                  <w:rFonts w:ascii="Times New Roman;serif" w:hAnsi="Times New Roman;serif"/>
                  <w:b w:val="false"/>
                  <w:color w:val="0000FF"/>
                  <w:sz w:val="20"/>
                  <w:u w:val="single"/>
                </w:rPr>
                <w:t>Financial Statements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6de8b7f9764abdb94b611ce4eb57be_16">
              <w:r>
                <w:rPr>
                  <w:rStyle w:val="InternetLink"/>
                  <w:rFonts w:ascii="Times New Roman;serif" w:hAnsi="Times New Roman;serif"/>
                  <w:b w:val="false"/>
                  <w:color w:val="0000FF"/>
                  <w:sz w:val="20"/>
                  <w:u w:val="single"/>
                </w:rPr>
                <w:t>Condensed Consolidated Statements of Financial Condition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6de8b7f9764abdb94b611ce4eb57be_16">
              <w:r>
                <w:rPr>
                  <w:rStyle w:val="InternetLink"/>
                  <w:rFonts w:ascii="Times New Roman;serif" w:hAnsi="Times New Roman;serif"/>
                  <w:b w:val="false"/>
                  <w:strike w:val="false"/>
                  <w:dstrike w:val="false"/>
                  <w:color w:val="000000"/>
                  <w:sz w:val="20"/>
                  <w:u w:val="none"/>
                  <w:effect w:val="none"/>
                </w:rPr>
                <w:t>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6de8b7f9764abdb94b611ce4eb57be_19">
              <w:r>
                <w:rPr>
                  <w:rStyle w:val="InternetLink"/>
                  <w:rFonts w:ascii="Times New Roman;serif" w:hAnsi="Times New Roman;serif"/>
                  <w:b w:val="false"/>
                  <w:color w:val="0000FF"/>
                  <w:sz w:val="20"/>
                  <w:u w:val="single"/>
                </w:rPr>
                <w:t>Condensed Consolidated Statements of Income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6de8b7f9764abdb94b611ce4eb57be_19">
              <w:r>
                <w:rPr>
                  <w:rStyle w:val="InternetLink"/>
                  <w:rFonts w:ascii="Times New Roman;serif" w:hAnsi="Times New Roman;serif"/>
                  <w:b w:val="false"/>
                  <w:strike w:val="false"/>
                  <w:dstrike w:val="false"/>
                  <w:color w:val="000000"/>
                  <w:sz w:val="20"/>
                  <w:u w:val="none"/>
                  <w:effect w:val="none"/>
                </w:rPr>
                <w:t>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6de8b7f9764abdb94b611ce4eb57be_22">
              <w:r>
                <w:rPr>
                  <w:rStyle w:val="InternetLink"/>
                  <w:rFonts w:ascii="Times New Roman;serif" w:hAnsi="Times New Roman;serif"/>
                  <w:b w:val="false"/>
                  <w:color w:val="0000FF"/>
                  <w:sz w:val="20"/>
                  <w:u w:val="single"/>
                </w:rPr>
                <w:t>Condensed Consolidated Statements of Comprehensive Income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6de8b7f9764abdb94b611ce4eb57be_22">
              <w:r>
                <w:rPr>
                  <w:rStyle w:val="InternetLink"/>
                  <w:rFonts w:ascii="Times New Roman;serif" w:hAnsi="Times New Roman;serif"/>
                  <w:b w:val="false"/>
                  <w:strike w:val="false"/>
                  <w:dstrike w:val="false"/>
                  <w:color w:val="000000"/>
                  <w:sz w:val="20"/>
                  <w:u w:val="none"/>
                  <w:effect w:val="non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6de8b7f9764abdb94b611ce4eb57be_25">
              <w:r>
                <w:rPr>
                  <w:rStyle w:val="InternetLink"/>
                  <w:rFonts w:ascii="Times New Roman;serif" w:hAnsi="Times New Roman;serif"/>
                  <w:b w:val="false"/>
                  <w:color w:val="0000FF"/>
                  <w:sz w:val="20"/>
                  <w:u w:val="single"/>
                </w:rPr>
                <w:t>Condensed Consolidated Statements of Changes in Partners' Capital</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6de8b7f9764abdb94b611ce4eb57be_25">
              <w:r>
                <w:rPr>
                  <w:rStyle w:val="InternetLink"/>
                  <w:rFonts w:ascii="Times New Roman;serif" w:hAnsi="Times New Roman;serif"/>
                  <w:b w:val="false"/>
                  <w:strike w:val="false"/>
                  <w:dstrike w:val="false"/>
                  <w:color w:val="000000"/>
                  <w:sz w:val="20"/>
                  <w:u w:val="none"/>
                  <w:effect w:val="none"/>
                </w:rPr>
                <w:t>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6de8b7f9764abdb94b611ce4eb57be_28">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6de8b7f9764abdb94b611ce4eb57be_28">
              <w:r>
                <w:rPr>
                  <w:rStyle w:val="InternetLink"/>
                  <w:rFonts w:ascii="Times New Roman;serif" w:hAnsi="Times New Roman;serif"/>
                  <w:b w:val="false"/>
                  <w:strike w:val="false"/>
                  <w:dstrike w:val="false"/>
                  <w:color w:val="000000"/>
                  <w:sz w:val="20"/>
                  <w:u w:val="none"/>
                  <w:effect w:val="none"/>
                </w:rPr>
                <w:t>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6de8b7f9764abdb94b611ce4eb57be_31">
              <w:r>
                <w:rPr>
                  <w:rStyle w:val="InternetLink"/>
                  <w:rFonts w:ascii="Times New Roman;serif" w:hAnsi="Times New Roman;serif"/>
                  <w:b w:val="false"/>
                  <w:color w:val="0000FF"/>
                  <w:sz w:val="20"/>
                  <w:u w:val="single"/>
                </w:rPr>
                <w:t>Notes to Condensed Consolidated Financial Statements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6de8b7f9764abdb94b611ce4eb57be_31">
              <w:r>
                <w:rPr>
                  <w:rStyle w:val="InternetLink"/>
                  <w:rFonts w:ascii="Times New Roman;serif" w:hAnsi="Times New Roman;serif"/>
                  <w:b w:val="false"/>
                  <w:strike w:val="false"/>
                  <w:dstrike w:val="false"/>
                  <w:color w:val="000000"/>
                  <w:sz w:val="20"/>
                  <w:u w:val="none"/>
                  <w:effect w:val="none"/>
                </w:rPr>
                <w:t>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6de8b7f9764abdb94b611ce4eb57be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6de8b7f9764abdb94b611ce4eb57be_94">
              <w:r>
                <w:rPr>
                  <w:rStyle w:val="InternetLink"/>
                  <w:rFonts w:ascii="Times New Roman;serif" w:hAnsi="Times New Roman;serif"/>
                  <w:b w:val="false"/>
                  <w:strike w:val="false"/>
                  <w:dstrike w:val="false"/>
                  <w:color w:val="000000"/>
                  <w:sz w:val="20"/>
                  <w:u w:val="none"/>
                  <w:effect w:val="none"/>
                </w:rPr>
                <w:t>27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6de8b7f9764abdb94b611ce4eb57be_115">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6de8b7f9764abdb94b611ce4eb57be_115">
              <w:r>
                <w:rPr>
                  <w:rStyle w:val="InternetLink"/>
                  <w:rFonts w:ascii="Times New Roman;serif" w:hAnsi="Times New Roman;serif"/>
                  <w:b w:val="false"/>
                  <w:strike w:val="false"/>
                  <w:dstrike w:val="false"/>
                  <w:color w:val="000000"/>
                  <w:sz w:val="20"/>
                  <w:u w:val="none"/>
                  <w:effect w:val="none"/>
                </w:rPr>
                <w:t>49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6de8b7f9764abdb94b611ce4eb57be_118">
              <w:r>
                <w:rPr>
                  <w:rStyle w:val="InternetLink"/>
                  <w:rFonts w:ascii="Times New Roman;serif" w:hAnsi="Times New Roman;serif"/>
                  <w:b w:val="false"/>
                  <w:color w:val="0000FF"/>
                  <w:sz w:val="20"/>
                  <w:u w:val="single"/>
                </w:rPr>
                <w:t>Controls and Procedures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6de8b7f9764abdb94b611ce4eb57be_118">
              <w:r>
                <w:rPr>
                  <w:rStyle w:val="InternetLink"/>
                  <w:rFonts w:ascii="Times New Roman;serif" w:hAnsi="Times New Roman;serif"/>
                  <w:b w:val="false"/>
                  <w:strike w:val="false"/>
                  <w:dstrike w:val="false"/>
                  <w:color w:val="000000"/>
                  <w:sz w:val="20"/>
                  <w:u w:val="none"/>
                  <w:effect w:val="none"/>
                </w:rPr>
                <w:t>49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Part II</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6de8b7f9764abdb94b611ce4eb57be_124">
              <w:r>
                <w:rPr>
                  <w:rStyle w:val="InternetLink"/>
                  <w:rFonts w:ascii="Times New Roman;serif" w:hAnsi="Times New Roman;serif"/>
                  <w:b w:val="false"/>
                  <w:color w:val="0000FF"/>
                  <w:sz w:val="20"/>
                  <w:u w:val="single"/>
                </w:rPr>
                <w:t>Legal Proceedings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6de8b7f9764abdb94b611ce4eb57be_124">
              <w:r>
                <w:rPr>
                  <w:rStyle w:val="InternetLink"/>
                  <w:rFonts w:ascii="Times New Roman;serif" w:hAnsi="Times New Roman;serif"/>
                  <w:b w:val="false"/>
                  <w:strike w:val="false"/>
                  <w:dstrike w:val="false"/>
                  <w:color w:val="000000"/>
                  <w:sz w:val="20"/>
                  <w:u w:val="none"/>
                  <w:effect w:val="none"/>
                </w:rPr>
                <w:t>50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6de8b7f9764abdb94b611ce4eb57be_127">
              <w:r>
                <w:rPr>
                  <w:rStyle w:val="InternetLink"/>
                  <w:rFonts w:ascii="Times New Roman;serif" w:hAnsi="Times New Roman;serif"/>
                  <w:b w:val="false"/>
                  <w:color w:val="0000FF"/>
                  <w:sz w:val="20"/>
                  <w:u w:val="single"/>
                </w:rPr>
                <w:t>Risk Factors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6de8b7f9764abdb94b611ce4eb57be_127">
              <w:r>
                <w:rPr>
                  <w:rStyle w:val="InternetLink"/>
                  <w:rFonts w:ascii="Times New Roman;serif" w:hAnsi="Times New Roman;serif"/>
                  <w:b w:val="false"/>
                  <w:strike w:val="false"/>
                  <w:dstrike w:val="false"/>
                  <w:color w:val="000000"/>
                  <w:sz w:val="20"/>
                  <w:u w:val="none"/>
                  <w:effect w:val="none"/>
                </w:rPr>
                <w:t>50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6de8b7f9764abdb94b611ce4eb57be_130">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6de8b7f9764abdb94b611ce4eb57be_130">
              <w:r>
                <w:rPr>
                  <w:rStyle w:val="InternetLink"/>
                  <w:rFonts w:ascii="Times New Roman;serif" w:hAnsi="Times New Roman;serif"/>
                  <w:b w:val="false"/>
                  <w:strike w:val="false"/>
                  <w:dstrike w:val="false"/>
                  <w:color w:val="000000"/>
                  <w:sz w:val="20"/>
                  <w:u w:val="none"/>
                  <w:effect w:val="none"/>
                </w:rPr>
                <w:t>50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6de8b7f9764abdb94b611ce4eb57be_133">
              <w:r>
                <w:rPr>
                  <w:rStyle w:val="InternetLink"/>
                  <w:rFonts w:ascii="Times New Roman;serif" w:hAnsi="Times New Roman;serif"/>
                  <w:b w:val="false"/>
                  <w:color w:val="0000FF"/>
                  <w:sz w:val="20"/>
                  <w:u w:val="single"/>
                </w:rPr>
                <w:t>Defaults Upon Senior Securities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6de8b7f9764abdb94b611ce4eb57be_133">
              <w:r>
                <w:rPr>
                  <w:rStyle w:val="InternetLink"/>
                  <w:rFonts w:ascii="Times New Roman;serif" w:hAnsi="Times New Roman;serif"/>
                  <w:b w:val="false"/>
                  <w:strike w:val="false"/>
                  <w:dstrike w:val="false"/>
                  <w:color w:val="000000"/>
                  <w:sz w:val="20"/>
                  <w:u w:val="none"/>
                  <w:effect w:val="none"/>
                </w:rPr>
                <w:t>50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6de8b7f9764abdb94b611ce4eb57be_136">
              <w:r>
                <w:rPr>
                  <w:rStyle w:val="InternetLink"/>
                  <w:rFonts w:ascii="Times New Roman;serif" w:hAnsi="Times New Roman;serif"/>
                  <w:b w:val="false"/>
                  <w:color w:val="0000FF"/>
                  <w:sz w:val="20"/>
                  <w:u w:val="single"/>
                </w:rPr>
                <w:t>Mine Safety Disclosures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6de8b7f9764abdb94b611ce4eb57be_136">
              <w:r>
                <w:rPr>
                  <w:rStyle w:val="InternetLink"/>
                  <w:rFonts w:ascii="Times New Roman;serif" w:hAnsi="Times New Roman;serif"/>
                  <w:b w:val="false"/>
                  <w:strike w:val="false"/>
                  <w:dstrike w:val="false"/>
                  <w:color w:val="000000"/>
                  <w:sz w:val="20"/>
                  <w:u w:val="none"/>
                  <w:effect w:val="none"/>
                </w:rPr>
                <w:t>50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6de8b7f9764abdb94b611ce4eb57be_139">
              <w:r>
                <w:rPr>
                  <w:rStyle w:val="InternetLink"/>
                  <w:rFonts w:ascii="Times New Roman;serif" w:hAnsi="Times New Roman;serif"/>
                  <w:b w:val="false"/>
                  <w:color w:val="0000FF"/>
                  <w:sz w:val="20"/>
                  <w:u w:val="single"/>
                </w:rPr>
                <w:t>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6de8b7f9764abdb94b611ce4eb57be_139">
              <w:r>
                <w:rPr>
                  <w:rStyle w:val="InternetLink"/>
                  <w:rFonts w:ascii="Times New Roman;serif" w:hAnsi="Times New Roman;serif"/>
                  <w:b w:val="false"/>
                  <w:strike w:val="false"/>
                  <w:dstrike w:val="false"/>
                  <w:color w:val="000000"/>
                  <w:sz w:val="20"/>
                  <w:u w:val="none"/>
                  <w:effect w:val="none"/>
                </w:rPr>
                <w:t>50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6de8b7f9764abdb94b611ce4eb57be_145">
              <w:r>
                <w:rPr>
                  <w:rStyle w:val="InternetLink"/>
                  <w:rFonts w:ascii="Times New Roman;serif" w:hAnsi="Times New Roman;serif"/>
                  <w:b w:val="false"/>
                  <w:color w:val="0000FF"/>
                  <w:sz w:val="20"/>
                  <w:u w:val="single"/>
                </w:rPr>
                <w:t>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6de8b7f9764abdb94b611ce4eb57be_145">
              <w:r>
                <w:rPr>
                  <w:rStyle w:val="InternetLink"/>
                  <w:rFonts w:ascii="Times New Roman;serif" w:hAnsi="Times New Roman;serif"/>
                  <w:b w:val="false"/>
                  <w:strike w:val="false"/>
                  <w:dstrike w:val="false"/>
                  <w:color w:val="000000"/>
                  <w:sz w:val="20"/>
                  <w:u w:val="none"/>
                  <w:effect w:val="none"/>
                </w:rPr>
                <w:t>51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6de8b7f9764abdb94b611ce4eb57be_148">
              <w:r>
                <w:rPr>
                  <w:rStyle w:val="InternetLink"/>
                  <w:rFonts w:ascii="Times New Roman;serif" w:hAnsi="Times New Roman;serif"/>
                  <w:b w:val="false"/>
                  <w:color w:val="0000FF"/>
                  <w:sz w:val="20"/>
                  <w:u w:val="single"/>
                </w:rPr>
                <w:t>SIGNATURE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6de8b7f9764abdb94b611ce4eb57be_148">
              <w:r>
                <w:rPr>
                  <w:rStyle w:val="InternetLink"/>
                  <w:rFonts w:ascii="Times New Roman;serif" w:hAnsi="Times New Roman;serif"/>
                  <w:b w:val="false"/>
                  <w:strike w:val="false"/>
                  <w:dstrike w:val="false"/>
                  <w:color w:val="000000"/>
                  <w:sz w:val="20"/>
                  <w:u w:val="none"/>
                  <w:effect w:val="none"/>
                </w:rPr>
                <w:t>52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Part I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ALLIANCEBERNSTEIN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Financial Condition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unit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tbl>
      <w:tblPr>
        <w:tblW w:w="9189" w:type="dxa"/>
        <w:jc w:val="center"/>
        <w:tblInd w:w="0" w:type="dxa"/>
        <w:tblLayout w:type="fixed"/>
        <w:tblCellMar>
          <w:top w:w="28" w:type="dxa"/>
          <w:left w:w="28" w:type="dxa"/>
          <w:bottom w:w="28" w:type="dxa"/>
          <w:right w:w="28" w:type="dxa"/>
        </w:tblCellMar>
      </w:tblPr>
      <w:tblGrid>
        <w:gridCol w:w="2244"/>
        <w:gridCol w:w="1970"/>
        <w:gridCol w:w="1981"/>
        <w:gridCol w:w="211"/>
        <w:gridCol w:w="991"/>
        <w:gridCol w:w="109"/>
        <w:gridCol w:w="109"/>
        <w:gridCol w:w="109"/>
        <w:gridCol w:w="109"/>
        <w:gridCol w:w="211"/>
        <w:gridCol w:w="991"/>
        <w:gridCol w:w="154"/>
      </w:tblGrid>
      <w:tr>
        <w:trPr/>
        <w:tc>
          <w:tcPr>
            <w:tcW w:w="2244"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918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securities segregated, at fair value (cost: $227,580 and $496,263)</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Brokers and dealers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clients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funds fees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fees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of consolidated company-sponsored investment funds: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Cash and cash equivalents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Investments </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Other assets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equipment and leasehold improvements,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sales commissions,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9,241,119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9,277,776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tbl>
      <w:tblPr>
        <w:tblW w:w="10205" w:type="dxa"/>
        <w:jc w:val="center"/>
        <w:tblInd w:w="0" w:type="dxa"/>
        <w:tblLayout w:type="fixed"/>
        <w:tblCellMar>
          <w:top w:w="28" w:type="dxa"/>
          <w:left w:w="28" w:type="dxa"/>
          <w:bottom w:w="28" w:type="dxa"/>
          <w:right w:w="28" w:type="dxa"/>
        </w:tblCellMar>
      </w:tblPr>
      <w:tblGrid>
        <w:gridCol w:w="1924"/>
        <w:gridCol w:w="1464"/>
        <w:gridCol w:w="1467"/>
        <w:gridCol w:w="376"/>
        <w:gridCol w:w="1770"/>
        <w:gridCol w:w="194"/>
        <w:gridCol w:w="194"/>
        <w:gridCol w:w="194"/>
        <w:gridCol w:w="194"/>
        <w:gridCol w:w="376"/>
        <w:gridCol w:w="1770"/>
        <w:gridCol w:w="282"/>
      </w:tblGrid>
      <w:tr>
        <w:trPr/>
        <w:tc>
          <w:tcPr>
            <w:tcW w:w="192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REDEEMABLE NON-CONTROLLING INTEREST AND CAPITAL</w:t>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Payables:</w:t>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Brokers and dealers</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151,279 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214,454 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clients</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2,051,355 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1,936,726 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mutual funds</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liability</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277,662 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381,211 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522,784 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518,578 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of consolidated company-sponsored investment funds</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592,198 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367,498 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810,000 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4,213,864</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4,262,658</w:t>
            </w:r>
            <w:r>
              <w:rPr>
                <w:color w:val="000000"/>
              </w:rPr>
              <w:t>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r>
      <w:tr>
        <w:trPr/>
        <w:tc>
          <w:tcPr>
            <w:tcW w:w="4855"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Commitments and contingencies (</w:t>
            </w:r>
            <w:r>
              <w:rPr>
                <w:rFonts w:ascii="Times New Roman;serif" w:hAnsi="Times New Roman;serif"/>
                <w:b w:val="false"/>
                <w:i/>
                <w:color w:val="000000"/>
                <w:sz w:val="20"/>
              </w:rPr>
              <w:t>See Note 12</w:t>
            </w:r>
            <w:r>
              <w:rPr>
                <w:rFonts w:ascii="Times New Roman;serif" w:hAnsi="Times New Roman;serif"/>
                <w:b w:val="false"/>
                <w:color w:val="000000"/>
                <w:sz w:val="20"/>
              </w:rPr>
              <w:t>)</w:t>
            </w:r>
          </w:p>
        </w:tc>
        <w:tc>
          <w:tcPr>
            <w:tcW w:w="2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Redeemable non-controlling interest of consolidated entities </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230,809 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178,967 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w:t>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Partner</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Limited partners: 294,295,573 and 293,508,421 units issued and outstanding</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4,920,729 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4,916,978 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affiliates</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Holding Units held for long-term incentive compensation plans</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(111,111)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(72,869)</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(57,389)</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Partners’ capital attributable to AB Unitholders</w:t>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4,795,337</w:t>
            </w: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4,835,154</w:t>
            </w:r>
            <w:r>
              <w:rPr>
                <w:color w:val="000000"/>
              </w:rPr>
              <w:t>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Non-redeemable non-controlling interests in consolidated entities</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w:t>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4,796,446</w:t>
            </w: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4,836,151</w:t>
            </w:r>
            <w:r>
              <w:rPr>
                <w:color w:val="000000"/>
              </w:rPr>
              <w:t>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non-controlling interest and capital</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9,241,119</w:t>
            </w:r>
            <w:r>
              <w:rPr>
                <w:color w:val="000000"/>
              </w:rPr>
              <w:t>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9,277,776</w:t>
            </w:r>
            <w:r>
              <w:rPr>
                <w:color w:val="000000"/>
              </w:rPr>
              <w:t>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ALLIANCEBERNSTEIN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Income </w:t>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except per unit amounts)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1678"/>
        <w:gridCol w:w="1124"/>
        <w:gridCol w:w="1135"/>
        <w:gridCol w:w="109"/>
        <w:gridCol w:w="109"/>
        <w:gridCol w:w="109"/>
        <w:gridCol w:w="211"/>
        <w:gridCol w:w="841"/>
        <w:gridCol w:w="109"/>
        <w:gridCol w:w="109"/>
        <w:gridCol w:w="109"/>
        <w:gridCol w:w="109"/>
        <w:gridCol w:w="211"/>
        <w:gridCol w:w="841"/>
        <w:gridCol w:w="109"/>
        <w:gridCol w:w="109"/>
        <w:gridCol w:w="109"/>
        <w:gridCol w:w="109"/>
        <w:gridCol w:w="211"/>
        <w:gridCol w:w="976"/>
        <w:gridCol w:w="109"/>
        <w:gridCol w:w="109"/>
        <w:gridCol w:w="109"/>
        <w:gridCol w:w="109"/>
        <w:gridCol w:w="211"/>
        <w:gridCol w:w="976"/>
        <w:gridCol w:w="155"/>
      </w:tblGrid>
      <w:tr>
        <w:trPr/>
        <w:tc>
          <w:tcPr>
            <w:tcW w:w="167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advisory and services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1,699,090 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and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2,202,693 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Broker-dealer related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2,169,514 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Promotion and servicing: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Distribution-related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sales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execution, marketing, T&amp;E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1,711,051 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289,152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222,094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615,952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458,463</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272,370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207,288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581,006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428,982</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of consolidated entities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AB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255,222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210,467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550,707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431,266</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AB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0.86</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0.71</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ALLIANCEBERNSTEIN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Income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57"/>
        <w:gridCol w:w="1318"/>
        <w:gridCol w:w="1331"/>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6"/>
      </w:tblGrid>
      <w:tr>
        <w:trPr/>
        <w:tc>
          <w:tcPr>
            <w:tcW w:w="1557"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employee benefit related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reclassification adjustment for (losses) included in net income upon retirement plan liquidation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employee benefit related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related items,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(loss) in consolidated entities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AB Unitholders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255,711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236,505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544,939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491,470</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ALLIANCEBERNSTEIN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Partners' Capital</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1595"/>
        <w:gridCol w:w="1164"/>
        <w:gridCol w:w="1174"/>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56"/>
      </w:tblGrid>
      <w:tr>
        <w:trPr/>
        <w:tc>
          <w:tcPr>
            <w:tcW w:w="159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General Partner’s Capital</w:t>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48,395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48,694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49,519</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distributions to General Partner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compensation plans activity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issuance of AB Units,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48,729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47,832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48,729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47,832</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Limited Partners' Capital</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4,946,323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4,888,248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4,916,978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4,999,616</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distributions to Unitholders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compensation plans activity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issuance of AB Units,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4,920,729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4,831,485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4,920,729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4,831,485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Receivables from Affiliates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compensation awards expense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 (to) from AB Holding</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(2,421)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AB Holding Units held for Long-term Incentive Compensation Plans</w:t>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(62,366)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AB Holding Units for long-term compensation plans,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(issuance) of AB Units,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compensation awards expense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Revaluation of AB Holding Units held in rabbi trust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(111,111)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(94,436)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(111,111)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(94,436)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(110,581)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net of tax</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0" w:name="ib5024b7be2ff4d29bfcb1e0150213c29_37-5-1"/>
            <w:bookmarkEnd w:id="0"/>
            <w:r>
              <w:rPr>
                <w:rFonts w:ascii="Times New Roman;serif" w:hAnsi="Times New Roman;serif"/>
                <w:b w:val="false"/>
                <w:color w:val="000000"/>
                <w:sz w:val="20"/>
              </w:rPr>
              <w:t>(5,768)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employee benefit related items, net of tax</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(50,377)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(50,377)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Partners' Capital attributable to AB Unitholders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4,795,337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4,732,083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4,795,337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4,732,083</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Non-redeemable Non-controlling Interests in Consolidated Entities</w:t>
            </w:r>
          </w:p>
        </w:tc>
        <w:tc>
          <w:tcPr>
            <w:tcW w:w="13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period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1,348</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Contributions from non-controlling interest </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4,796,446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4,733,718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4,796,446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4,733,718</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ALLIANCEBERNSTEIN L.P.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413" w:type="dxa"/>
        <w:jc w:val="center"/>
        <w:tblInd w:w="0" w:type="dxa"/>
        <w:tblLayout w:type="fixed"/>
        <w:tblCellMar>
          <w:top w:w="28" w:type="dxa"/>
          <w:left w:w="28" w:type="dxa"/>
          <w:bottom w:w="28" w:type="dxa"/>
          <w:right w:w="28" w:type="dxa"/>
        </w:tblCellMar>
      </w:tblPr>
      <w:tblGrid>
        <w:gridCol w:w="2429"/>
        <w:gridCol w:w="2138"/>
        <w:gridCol w:w="2152"/>
        <w:gridCol w:w="211"/>
        <w:gridCol w:w="841"/>
        <w:gridCol w:w="109"/>
        <w:gridCol w:w="109"/>
        <w:gridCol w:w="109"/>
        <w:gridCol w:w="109"/>
        <w:gridCol w:w="211"/>
        <w:gridCol w:w="841"/>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581,006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428,982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sales commissions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long-term incentive compensation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investments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on equity method investments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plan loss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plan funding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securities, segregated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receivables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investments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deferred sales commissions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investments of consolidated company-sponsored investment funds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other assets of consolidated company-sponsored investment funds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other liabilities of consolidated company-sponsored investment funds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payables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accounts payable and accrued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accrued compensation and benefits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to relieve operating lease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950,096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489,815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tbl>
      <w:tblPr>
        <w:tblW w:w="10014" w:type="dxa"/>
        <w:jc w:val="center"/>
        <w:tblInd w:w="0" w:type="dxa"/>
        <w:tblLayout w:type="fixed"/>
        <w:tblCellMar>
          <w:top w:w="28" w:type="dxa"/>
          <w:left w:w="28" w:type="dxa"/>
          <w:bottom w:w="28" w:type="dxa"/>
          <w:right w:w="28" w:type="dxa"/>
        </w:tblCellMar>
      </w:tblPr>
      <w:tblGrid>
        <w:gridCol w:w="2653"/>
        <w:gridCol w:w="2329"/>
        <w:gridCol w:w="2338"/>
        <w:gridCol w:w="211"/>
        <w:gridCol w:w="841"/>
        <w:gridCol w:w="109"/>
        <w:gridCol w:w="109"/>
        <w:gridCol w:w="109"/>
        <w:gridCol w:w="109"/>
        <w:gridCol w:w="211"/>
        <w:gridCol w:w="841"/>
        <w:gridCol w:w="154"/>
      </w:tblGrid>
      <w:tr>
        <w:trPr/>
        <w:tc>
          <w:tcPr>
            <w:tcW w:w="2653"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furniture, equipment and leasehold improvements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(18,157)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General Partner and Unitholders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capital invested into consolidated company-sponsored investment funds,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 (to) AB Holding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AB Holding Units for long-term incentive compensation plan awards,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cash (used in) financing activities </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(818,203)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(491,720)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in cash and cash equivalents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105,750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20,714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as of beginning of the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as of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902,323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854,747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ALLIANCEBERNSTEIN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words “we” and “our” refer collectively to AllianceBernstein L.P. and its subsidiaries (“AB”), or to their officers and employees. Similarly, the word “company” refers to AB. These statements should be read in conjunction with AB’s audited consolidated financial statements included in AB’s Form 10-K for the year ended December 31,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 xml:space="preserve">Business Description, Organization and Basis of Presentation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Business Description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diversified investment management and related services globally to a broad range of clients. Our principal services include: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color w:val="000000"/>
          <w:sz w:val="20"/>
        </w:rPr>
        <w:t>Institutional Services</w:t>
      </w:r>
      <w:r>
        <w:rPr>
          <w:color w:val="000000"/>
        </w:rPr>
        <w:t xml:space="preserve"> – </w:t>
      </w:r>
      <w:r>
        <w:rPr>
          <w:rFonts w:ascii="Times New Roman;serif" w:hAnsi="Times New Roman;serif"/>
          <w:b w:val="false"/>
          <w:color w:val="000000"/>
          <w:sz w:val="20"/>
        </w:rPr>
        <w:t xml:space="preserve">servicing our institutional clients, including private and public pension plans, foundations and endowments, insurance companies, central banks and governments worldwide, and affiliates such as Equitable Holdings, Inc. ("EQH") and its subsidiaries, by means of separately-managed accounts, sub-advisory relationships, structured products, collective investment trusts, mutual funds, hedge funds and other investment vehicles. </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color w:val="000000"/>
          <w:sz w:val="20"/>
        </w:rPr>
        <w:t>Retail Services</w:t>
      </w:r>
      <w:r>
        <w:rPr>
          <w:color w:val="000000"/>
        </w:rPr>
        <w:t xml:space="preserve"> – </w:t>
      </w:r>
      <w:r>
        <w:rPr>
          <w:rFonts w:ascii="Times New Roman;serif" w:hAnsi="Times New Roman;serif"/>
          <w:b w:val="false"/>
          <w:color w:val="000000"/>
          <w:sz w:val="20"/>
        </w:rPr>
        <w:t xml:space="preserve">servicing our retail clients, primarily by means of retail mutual funds sponsored by AB or an affiliated company, sub-advisory relationships with mutual funds sponsored by third parties, separately-managed account programs sponsored by financial intermediaries worldwide and other investment vehicles. </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color w:val="000000"/>
          <w:sz w:val="20"/>
        </w:rPr>
        <w:t>Private Wealth Management</w:t>
      </w:r>
      <w:r>
        <w:rPr>
          <w:color w:val="000000"/>
        </w:rPr>
        <w:t xml:space="preserve"> – </w:t>
      </w:r>
      <w:r>
        <w:rPr>
          <w:rFonts w:ascii="Times New Roman;serif" w:hAnsi="Times New Roman;serif"/>
          <w:b w:val="false"/>
          <w:color w:val="000000"/>
          <w:sz w:val="20"/>
        </w:rPr>
        <w:t xml:space="preserve">servicing our private clients, including high-net-worth individuals and families, trusts and estates, charitable foundations, partnerships, private and family corporations, and other entities, by means of separately-managed accounts, hedge funds, mutual funds and other investment vehicles.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provide distribution, shareholder servicing, transfer agency services and administrative services to the mutual funds we sponsor.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high-quality, in-depth research is the foundation of our asset management and private wealth management businesses. AB’s research disciplines include economic, equity, fixed income and quantitative research. In addition, AB has expertise in multi-asset strategies, wealth management, environmental, social and corporate governance ("ESG"), and alternative 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provide a broad range of investment services with expertise in:</w:t>
      </w:r>
    </w:p>
    <w:p>
      <w:pPr>
        <w:pStyle w:val="TextBody"/>
        <w:bidi w:val="0"/>
        <w:spacing w:lineRule="auto" w:line="288" w:before="80" w:after="80"/>
        <w:ind w:left="0" w:right="0" w:hanging="360"/>
        <w:jc w:val="both"/>
        <w:rPr/>
      </w:pPr>
      <w:r>
        <w:rPr>
          <w:color w:val="000000"/>
        </w:rPr>
        <w:t>•</w:t>
      </w:r>
      <w:r>
        <w:rPr>
          <w:rFonts w:ascii="Times New Roman;serif" w:hAnsi="Times New Roman;serif"/>
          <w:b/>
          <w:color w:val="000000"/>
          <w:sz w:val="20"/>
        </w:rPr>
        <w:t>Equities,</w:t>
      </w:r>
      <w:r>
        <w:rPr>
          <w:color w:val="000000"/>
        </w:rPr>
        <w:t xml:space="preserve"> </w:t>
      </w:r>
      <w:r>
        <w:rPr>
          <w:rFonts w:ascii="Times New Roman;serif" w:hAnsi="Times New Roman;serif"/>
          <w:b w:val="false"/>
          <w:color w:val="000000"/>
          <w:sz w:val="20"/>
        </w:rPr>
        <w:t>including actively managed strategies across global and regional markets and capitalization ranges, spanning growth, value, core, defensive, thematic, and sustainable approaches, with varying degrees of active risk, concentration, and benchmark sensitivity;</w:t>
      </w:r>
    </w:p>
    <w:p>
      <w:pPr>
        <w:pStyle w:val="TextBody"/>
        <w:bidi w:val="0"/>
        <w:spacing w:lineRule="auto" w:line="288" w:before="80" w:after="80"/>
        <w:ind w:left="0" w:right="0" w:hanging="360"/>
        <w:jc w:val="both"/>
        <w:rPr/>
      </w:pPr>
      <w:r>
        <w:rPr>
          <w:color w:val="000000"/>
        </w:rPr>
        <w:t>•</w:t>
      </w:r>
      <w:r>
        <w:rPr>
          <w:rFonts w:ascii="Times New Roman;serif" w:hAnsi="Times New Roman;serif"/>
          <w:b/>
          <w:color w:val="000000"/>
          <w:sz w:val="20"/>
        </w:rPr>
        <w:t>Fixed Income</w:t>
      </w:r>
      <w:r>
        <w:rPr>
          <w:rFonts w:ascii="Times New Roman;serif" w:hAnsi="Times New Roman;serif"/>
          <w:b w:val="false"/>
          <w:color w:val="000000"/>
          <w:sz w:val="20"/>
        </w:rPr>
        <w:t>, including actively managed traditional and unconstrained strategies across taxable and tax-exempt markets, encompassing government, corporate, securitized, emerging market, and municipal securities, with a focus on income generation, risk management, liquidity, and diversification;</w:t>
      </w:r>
    </w:p>
    <w:p>
      <w:pPr>
        <w:pStyle w:val="TextBody"/>
        <w:bidi w:val="0"/>
        <w:spacing w:lineRule="auto" w:line="288" w:before="80" w:after="80"/>
        <w:ind w:left="0" w:right="0" w:hanging="360"/>
        <w:jc w:val="both"/>
        <w:rPr/>
      </w:pPr>
      <w:r>
        <w:rPr>
          <w:color w:val="000000"/>
        </w:rPr>
        <w:t>•</w:t>
      </w:r>
      <w:r>
        <w:rPr>
          <w:rFonts w:ascii="Times New Roman;serif" w:hAnsi="Times New Roman;serif"/>
          <w:b/>
          <w:color w:val="000000"/>
          <w:sz w:val="20"/>
        </w:rPr>
        <w:t>Multi-Asset Solutions</w:t>
      </w:r>
      <w:r>
        <w:rPr>
          <w:rFonts w:ascii="Times New Roman;serif" w:hAnsi="Times New Roman;serif"/>
          <w:b w:val="false"/>
          <w:color w:val="000000"/>
          <w:sz w:val="20"/>
        </w:rPr>
        <w:t>, including outcome-oriented and asset-allocation strategies such as target-date, target-risk, income, and total-return portfolios, as well as customized multi-asset solutions designed to meet specific client objectives;</w:t>
      </w:r>
    </w:p>
    <w:p>
      <w:pPr>
        <w:pStyle w:val="TextBody"/>
        <w:bidi w:val="0"/>
        <w:spacing w:lineRule="auto" w:line="288" w:before="80" w:after="80"/>
        <w:ind w:left="0" w:right="0" w:hanging="360"/>
        <w:jc w:val="both"/>
        <w:rPr/>
      </w:pPr>
      <w:r>
        <w:rPr>
          <w:color w:val="000000"/>
        </w:rPr>
        <w:t>•</w:t>
      </w:r>
      <w:r>
        <w:rPr>
          <w:rFonts w:ascii="Times New Roman;serif" w:hAnsi="Times New Roman;serif"/>
          <w:b/>
          <w:color w:val="000000"/>
          <w:sz w:val="20"/>
        </w:rPr>
        <w:t>Hedge Fund Strategies</w:t>
      </w:r>
      <w:r>
        <w:rPr>
          <w:rFonts w:ascii="Times New Roman;serif" w:hAnsi="Times New Roman;serif"/>
          <w:b w:val="false"/>
          <w:color w:val="000000"/>
          <w:sz w:val="20"/>
        </w:rPr>
        <w:t>, including fundamental and systematic hedge funds, equity market neutral, event-driven, macro, and fund-of-funds strategies, focused on delivering diversified, idiosyncratic return streams with controlled market exposure;</w:t>
      </w:r>
    </w:p>
    <w:p>
      <w:pPr>
        <w:pStyle w:val="TextBody"/>
        <w:bidi w:val="0"/>
        <w:spacing w:lineRule="auto" w:line="288" w:before="80" w:after="80"/>
        <w:ind w:left="0" w:right="0" w:hanging="360"/>
        <w:jc w:val="both"/>
        <w:rPr/>
      </w:pPr>
      <w:r>
        <w:rPr>
          <w:color w:val="000000"/>
        </w:rPr>
        <w:t>•</w:t>
      </w:r>
      <w:r>
        <w:rPr>
          <w:rFonts w:ascii="Times New Roman;serif" w:hAnsi="Times New Roman;serif"/>
          <w:b/>
          <w:color w:val="000000"/>
          <w:sz w:val="20"/>
        </w:rPr>
        <w:t>Private Alternatives</w:t>
      </w:r>
      <w:r>
        <w:rPr>
          <w:rFonts w:ascii="Times New Roman;serif" w:hAnsi="Times New Roman;serif"/>
          <w:b w:val="false"/>
          <w:color w:val="000000"/>
          <w:sz w:val="20"/>
        </w:rPr>
        <w:t>, including private credit, asset-based finance, real assets, real estate debt, and specialty finance strategies, where returns are driven by underwriting discipline, structure, selectivity, and active portfolio management rather than public market beta; and</w:t>
      </w:r>
    </w:p>
    <w:p>
      <w:pPr>
        <w:pStyle w:val="TextBody"/>
        <w:bidi w:val="0"/>
        <w:spacing w:lineRule="auto" w:line="288" w:before="80" w:after="80"/>
        <w:ind w:left="0" w:right="0" w:hanging="360"/>
        <w:jc w:val="both"/>
        <w:rPr/>
      </w:pPr>
      <w:r>
        <w:rPr>
          <w:color w:val="000000"/>
        </w:rPr>
        <w:t>•</w:t>
      </w:r>
      <w:r>
        <w:rPr>
          <w:rFonts w:ascii="Times New Roman;serif" w:hAnsi="Times New Roman;serif"/>
          <w:b/>
          <w:color w:val="000000"/>
          <w:sz w:val="20"/>
        </w:rPr>
        <w:t>Systematic Strategies</w:t>
      </w:r>
      <w:r>
        <w:rPr>
          <w:rFonts w:ascii="Times New Roman;serif" w:hAnsi="Times New Roman;serif"/>
          <w:b w:val="false"/>
          <w:color w:val="000000"/>
          <w:sz w:val="20"/>
        </w:rPr>
        <w:t>, including alpha-seeking and risk-controlled approaches that apply quantitative research, data-driven signals, and disciplined portfolio construction across equity and fixed income markets, as well as passive index, ESG index, and enhanced index solutions designed to provide efficient market exposure.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Organization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AllianceBernstein Corporation (an indirect wholly-owned subsidiary of EQH, “General Partner”) is the general partner of both AllianceBernstein Holding L.P. (“AB Holding”) and AB. AllianceBernstein Corporation owns 100,000 general partnership units in AB Holding and a 1.0% general partnership interest in AB.</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ownership structure of AB, including limited partnership units outstanding as well as the general partner's 1.0% interest, was as follows: </w:t>
      </w:r>
    </w:p>
    <w:p>
      <w:pPr>
        <w:pStyle w:val="TextBody"/>
        <w:bidi w:val="0"/>
        <w:spacing w:before="0" w:after="0"/>
        <w:jc w:val="both"/>
        <w:rPr/>
      </w:pPr>
      <w:r>
        <w:rPr/>
      </w:r>
    </w:p>
    <w:tbl>
      <w:tblPr>
        <w:tblW w:w="3031" w:type="dxa"/>
        <w:jc w:val="left"/>
        <w:tblInd w:w="0" w:type="dxa"/>
        <w:tblLayout w:type="fixed"/>
        <w:tblCellMar>
          <w:top w:w="28" w:type="dxa"/>
          <w:left w:w="28" w:type="dxa"/>
          <w:bottom w:w="28" w:type="dxa"/>
          <w:right w:w="28" w:type="dxa"/>
        </w:tblCellMar>
      </w:tblPr>
      <w:tblGrid>
        <w:gridCol w:w="759"/>
        <w:gridCol w:w="668"/>
        <w:gridCol w:w="672"/>
        <w:gridCol w:w="307"/>
        <w:gridCol w:w="309"/>
        <w:gridCol w:w="316"/>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EQH and its subsidiaries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Holding</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Unaffiliated holders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Including both the general partnership and limited partnership interests in AB Holding and AB, EQH and its subsidiaries had an approximate 68.1% economic interest in AB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Basis of Presentation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interim condensed consolidated financial statements have been prepared in accordance with the instructions to Form 10-Q pursuant to the rules and regulations of the U.S. Securities and Exchange Commission (“SEC”). In the opinion of management, all adjustments, consisting only of normal recurring adjustments, necessary for a fair statement of the interim results, have been made. The preparation of the condensed consolidated financial statements requires management to make certain estimates and assumptions that affect the reported amounts of assets and liabilities and disclosure of contingent assets and liabilities at the dates of the condensed consolidated financial statements and the reported amounts of revenues and expenses during the interim reporting periods. Actual results could differ from those estimates. The condensed consolidated statement of financial condition as of December 31, 2025 was derived from audited financial statements. Certain disclosures included in the annual financial statements have been condensed or omitted from these financial statements as they are not required for interim financial statements under principles generally accepted in the United States of America ("GAAP") and the rules of the SEC.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Principles of Consolidation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include AB and its majority-owned and/or controlled subsidiaries, and the consolidated entities that are considered to be variable interest entities (“VIEs”) and/or voting interest entities (“VOEs”) in which AB has a controlling financial interest. Non-controlling interests on the condensed consolidated statements of financial condition include the portion of consolidated company-sponsored investment funds in which we do not have direct equity ownership. All significant inter-company transactions and balances among the consolidated entities have been eliminated.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Reclassification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2026, amounts previously presented on the condensed consolidated statements of income as "contingent payment arrangements" are now presented as part of "amortization of intangible assets." Prior period amounts previously presented as such have been reclassified to conform to the current periods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Subsequent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evaluated subsequent events through the date that these financial statements were filed with the SEC and did not identify any subsequent events that would require disclosure in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2.     Significant Accounting Policies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Accounting Pronouncements Not Yet Adopted</w:t>
      </w:r>
    </w:p>
    <w:p>
      <w:pPr>
        <w:pStyle w:val="TextBody"/>
        <w:bidi w:val="0"/>
        <w:spacing w:lineRule="auto" w:line="288" w:before="12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This amendment is expected to improve financial reporting by requiring that public business entities disclose additional information about specific expense categories in the notes to financial statements at interim and annual reporting periods. This information is not generally presented in the financial statements today. The amendments in this update do not change or remove current expense disclosure requirements. This ASU is effective for annual reporting periods beginning after December 15, 2026, and interim reporting periods beginning after December 15, 2027. Early adoption is permitted. The amendments in this update should be applied either prospectively to financial statements issued for reporting periods after the effective date of this update or retrospectively to any or all periods presented in the financial statements. We are currently evaluating the impacts of the new standard.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3. Revenue Recognition</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Revenues for the three and six months ended June 30, 2026 and 2025 consisted of the following:</w:t>
      </w:r>
    </w:p>
    <w:tbl>
      <w:tblPr>
        <w:tblW w:w="10205" w:type="dxa"/>
        <w:jc w:val="center"/>
        <w:tblInd w:w="0" w:type="dxa"/>
        <w:tblLayout w:type="fixed"/>
        <w:tblCellMar>
          <w:top w:w="28" w:type="dxa"/>
          <w:left w:w="28" w:type="dxa"/>
          <w:bottom w:w="28" w:type="dxa"/>
          <w:right w:w="28" w:type="dxa"/>
        </w:tblCellMar>
      </w:tblPr>
      <w:tblGrid>
        <w:gridCol w:w="1600"/>
        <w:gridCol w:w="1116"/>
        <w:gridCol w:w="891"/>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55"/>
      </w:tblGrid>
      <w:tr>
        <w:trPr/>
        <w:tc>
          <w:tcPr>
            <w:tcW w:w="160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Subject to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Investment advisory and services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1,623,185 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Performance-based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Distribution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All-in-management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12b-1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distribution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Shareholder servicing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JV related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2,159,856 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subject to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Dividend and interest income, net of broker-dealer related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1,171,004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1,088,907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2,372,730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2,169,514</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4.    Long-term Incentive Compensation Plans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several unfunded, non-qualified long-term incentive compensation plans, under which we grant annual awards to employees, generally in the fourth quarter, and to members of the Board of Directors of the General Partner, who are not employed by our company or by any of our affiliates (“Eligible Directors”).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AB Holding Units are maintained in a consolidated rabbi trust either by purchasing AB Holding Units on the open market or by purchasing newly-issued AB Holding Units from AB Holding until delivering them or retiring them. In accordance with the Amended and Restated Agreement of Limited Partnership of AB (“AB Partnership Agreement”), when AB purchases newly-issued AB Holding Units from AB Holding, AB Holding is required to use the proceeds it receives from AB to purchase the equivalent number of newly-issued AB Units, thus increasing its percentage ownership interest in AB.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Holding Units held in the consolidated rabbi trust are corporate assets in the name of the trust and are available to the general creditors of AB.</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Repurchases of AB Holding Units for the three and six months ended June 30, 2026 and 2025 consisted of the following:</w:t>
      </w:r>
    </w:p>
    <w:tbl>
      <w:tblPr>
        <w:tblW w:w="10205" w:type="dxa"/>
        <w:jc w:val="left"/>
        <w:tblInd w:w="0" w:type="dxa"/>
        <w:tblLayout w:type="fixed"/>
        <w:tblCellMar>
          <w:top w:w="28" w:type="dxa"/>
          <w:left w:w="28" w:type="dxa"/>
          <w:bottom w:w="28" w:type="dxa"/>
          <w:right w:w="28" w:type="dxa"/>
        </w:tblCellMar>
      </w:tblPr>
      <w:tblGrid>
        <w:gridCol w:w="1699"/>
        <w:gridCol w:w="1494"/>
        <w:gridCol w:w="1504"/>
        <w:gridCol w:w="109"/>
        <w:gridCol w:w="109"/>
        <w:gridCol w:w="109"/>
        <w:gridCol w:w="265"/>
        <w:gridCol w:w="643"/>
        <w:gridCol w:w="136"/>
        <w:gridCol w:w="136"/>
        <w:gridCol w:w="136"/>
        <w:gridCol w:w="136"/>
        <w:gridCol w:w="265"/>
        <w:gridCol w:w="643"/>
        <w:gridCol w:w="136"/>
        <w:gridCol w:w="109"/>
        <w:gridCol w:w="109"/>
        <w:gridCol w:w="109"/>
        <w:gridCol w:w="244"/>
        <w:gridCol w:w="591"/>
        <w:gridCol w:w="126"/>
        <w:gridCol w:w="126"/>
        <w:gridCol w:w="126"/>
        <w:gridCol w:w="126"/>
        <w:gridCol w:w="244"/>
        <w:gridCol w:w="591"/>
        <w:gridCol w:w="184"/>
      </w:tblGrid>
      <w:tr>
        <w:trPr/>
        <w:tc>
          <w:tcPr>
            <w:tcW w:w="1699"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amount of AB Holding Units Purchased/Retained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Total Cash Paid for AB Holding Units Purchased/Retained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Open Market Purchases of AB Holding Units Purchased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Cash Paid for Open Market Purchases of AB Holding Units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2"/>
        </w:rPr>
        <w:t>(1)    </w:t>
      </w:r>
      <w:r>
        <w:rPr>
          <w:rFonts w:ascii="Times New Roman;serif" w:hAnsi="Times New Roman;serif"/>
          <w:b w:val="false"/>
          <w:color w:val="000000"/>
          <w:sz w:val="18"/>
        </w:rPr>
        <w:t>Purchased on a trade date basis. The difference between open-market purchases and units retained reflects the retention of AB Holding Units from employees to fulfill statutory tax withholding requirements at the time of delivery of long-term incentive compensation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Purchases of AB Holding Units reflected on the condensed consolidated statements of cash flows are net of AB Holding Unit purchases by employees as part of a distribution reinvestment election.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quarter, we consider whether to implement a plan to repurchase AB Holding Units pursuant to Rules 10b5-1 and 10b-18 under the Securities Exchange Act of 1934, as amended ("Exchange Act"). A plan of this type allows a company to repurchase its shares at times when it otherwise might be prevented from doing so because of self-imposed trading blackout periods or because it possesses material non-public information. Each broker we select has the authority under the terms and limitations specified in the plan to repurchase AB Holding Units on our behalf. Repurchases are subject to regulations promulgated by the SEC as well as certain price, market volume and timing constraints specified in the plan. The plan adopted during the second quarter of 2026 expired at the close of business on July 27, 2026. We may adopt additional plans in the future to engage in open-market purchases of AB Holding Units for anticipated obligations under our incentive compensation award program and for other corporate purposes.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six months of 2026 and 2025, we awarded to employees and Eligible Directors 1.6 million and 1.2 million restricted AB Holding Unit awards, respectively. We use AB Holding Units repurchased during the applicable period and newly-issued AB Holding Units for these awards. </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5.     Net Income per Unit </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per Unit is derived by reducing net income for the 1.0% general partnership interest and dividing the remaining 99.0% by the weighted average number of limited partnership units outstanding for each period. Diluted net income per Unit is equivalent to net income per Unit, as there are no outstanding instruments that have a dilutive effect.</w:t>
      </w:r>
    </w:p>
    <w:tbl>
      <w:tblPr>
        <w:tblW w:w="10205" w:type="dxa"/>
        <w:jc w:val="left"/>
        <w:tblInd w:w="0" w:type="dxa"/>
        <w:tblLayout w:type="fixed"/>
        <w:tblCellMar>
          <w:top w:w="28" w:type="dxa"/>
          <w:left w:w="28" w:type="dxa"/>
          <w:bottom w:w="28" w:type="dxa"/>
          <w:right w:w="28" w:type="dxa"/>
        </w:tblCellMar>
      </w:tblPr>
      <w:tblGrid>
        <w:gridCol w:w="1543"/>
        <w:gridCol w:w="1356"/>
        <w:gridCol w:w="1364"/>
        <w:gridCol w:w="109"/>
        <w:gridCol w:w="109"/>
        <w:gridCol w:w="109"/>
        <w:gridCol w:w="211"/>
        <w:gridCol w:w="827"/>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57"/>
      </w:tblGrid>
      <w:tr>
        <w:trPr/>
        <w:tc>
          <w:tcPr>
            <w:tcW w:w="15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per unit amounts)</w:t>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AB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limited partnership Units outstanding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AB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0.86</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0.71</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1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6. Cash Distributions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AB is required to distribute all of its Available Cash Flow, as defined in the AB Partnership Agreement, to its Unitholders and to the General Partner. Available Cash Flow can be summarized as the cash flow received by AB from operations minus such amounts as the General Partner determines, in its sole discretion, should be retained by AB for use in its business, or plus such amounts as the General Partner determines, in its sole discretion, should be released from previously retained cash flow.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Typically, Available Cash Flow has been the adjusted net income per Unit for the quarter multiplied by the number of general and limited partnership interests at the end of the quarter. Management anticipates that Available Cash Flow will continue to be based on adjusted net income per Unit. If management determines, with the concurrence of the Board of Directors, that certain adjustments to Available Cash Flow are necessary or unnecessary, such adjustments will be made in future periods.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28, 2026, the General Partner declared a distribution of $0.91 per AB Unit, representing a distribution of Available Cash Flow for the three months ended June 30, 2026. The General Partner, as a result of its 1.0% general partnership interest, is entitled to receive 1.0% of each distribution. The distribution is payable on August 27, 2026 to holders of record on August 12,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7.     Cash and Securities Segregated Under Federal Regulations and Other Requirements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$227.7 million and $498.6 million, respectively, of U.S. Treasury Bills were segregated in a special reserve bank custody account for the exclusive benefit of our brokerage customers under Rule 15c3-3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8.     Investments </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consist of:</w:t>
      </w:r>
    </w:p>
    <w:tbl>
      <w:tblPr>
        <w:tblW w:w="6782" w:type="dxa"/>
        <w:jc w:val="left"/>
        <w:tblInd w:w="0" w:type="dxa"/>
        <w:tblLayout w:type="fixed"/>
        <w:tblCellMar>
          <w:top w:w="28" w:type="dxa"/>
          <w:left w:w="28" w:type="dxa"/>
          <w:bottom w:w="28" w:type="dxa"/>
          <w:right w:w="28" w:type="dxa"/>
        </w:tblCellMar>
      </w:tblPr>
      <w:tblGrid>
        <w:gridCol w:w="1444"/>
        <w:gridCol w:w="1270"/>
        <w:gridCol w:w="1276"/>
        <w:gridCol w:w="211"/>
        <w:gridCol w:w="841"/>
        <w:gridCol w:w="109"/>
        <w:gridCol w:w="109"/>
        <w:gridCol w:w="109"/>
        <w:gridCol w:w="109"/>
        <w:gridCol w:w="228"/>
        <w:gridCol w:w="910"/>
        <w:gridCol w:w="166"/>
      </w:tblGrid>
      <w:tr>
        <w:trPr/>
        <w:tc>
          <w:tcPr>
            <w:tcW w:w="144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Long-term incentive compensation-related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Seed capital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limited partnership hedge funds: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compensation-related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Seed capital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Joint ventures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equity method investments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433,409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531,013</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investments related to long-term incentive compensation obligations of $42.7 million and $54.1 million as of June 30, 2026 and December 31, 2025, respectively, consist of company-sponsored mutual funds and hedge funds. For long-term incentive compensation awards granted before 2009, we typically made investments in company-sponsored mutual funds and hedge funds that were notionally elected by plan participants and maintained them (and continue to maintain them) in a consolidated rabbi trust or separate custodial account. The rabbi trust and custodial account enable us to hold such investments separate from our other assets for the purpose of settling our obligations to participants. The investments held in the rabbi trust and custodial account remain available to the general creditors of AB.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underlying investments of hedge funds in which we invest include long and short positions in equity securities, fixed income securities (including various agency and non-agency asset-based securities), currencies, commodities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derivatives (including various swaps and forward contracts). These investments are valued at quoted market prices or, where quoted market prices are not available, are fair valued based on the pricing policies and procedures of the underlying funds.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We allocate seed capital to our investment teams to help develop new products and services for our clients. A portion of our seed capital trading investments are equity and fixed income products, primarily in the form of separately-managed account portfolios, U.S. mutual funds, Luxembourg funds, Japanese investment trust management funds or Delaware business trusts. We also may allocate seed capital to investments in private equity funds and other private alternative investment vehicles. Regarding our seed capital investments, the amounts above reflect those funds in which we are not the primary beneficiary of a VIE or hold a controlling financial interest in a VOE. </w:t>
      </w:r>
      <w:r>
        <w:rPr>
          <w:rFonts w:ascii="Times New Roman;serif" w:hAnsi="Times New Roman;serif"/>
          <w:b w:val="false"/>
          <w:i/>
          <w:color w:val="000000"/>
          <w:sz w:val="20"/>
        </w:rPr>
        <w:t>See Note 14, Consolidated Company-Sponsored Investment Funds</w:t>
      </w:r>
      <w:r>
        <w:rPr>
          <w:rFonts w:ascii="Times New Roman;serif" w:hAnsi="Times New Roman;serif"/>
          <w:b w:val="false"/>
          <w:color w:val="000000"/>
          <w:sz w:val="20"/>
        </w:rPr>
        <w:t>, for a description of the seed capital investments that we consolidate. As of June 30, 2026 and December 31, 2025, our total seed capital investments were $383.1 million and $372.1 million, respectively. Seed capital investments in unconsolidated company-sponsored investment funds are valued using published net asset values or non-published net asset values if they are not listed on an active exchange but have net asset values that are comparable to funds with published net asset values and have no redemption restrictions.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 in the joint venture on the condensed consolidated statement of financial condition is accounted for under the equity method of accounting.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portion of unrealized gains (losses) related to equity securities, as defined by ASC 321-10, held as of June 30, 2026 and 2025 were as follows: </w:t>
      </w:r>
    </w:p>
    <w:tbl>
      <w:tblPr>
        <w:tblW w:w="10205" w:type="dxa"/>
        <w:jc w:val="left"/>
        <w:tblInd w:w="0" w:type="dxa"/>
        <w:tblLayout w:type="fixed"/>
        <w:tblCellMar>
          <w:top w:w="28" w:type="dxa"/>
          <w:left w:w="28" w:type="dxa"/>
          <w:bottom w:w="28" w:type="dxa"/>
          <w:right w:w="28" w:type="dxa"/>
        </w:tblCellMar>
      </w:tblPr>
      <w:tblGrid>
        <w:gridCol w:w="1681"/>
        <w:gridCol w:w="1465"/>
        <w:gridCol w:w="1471"/>
        <w:gridCol w:w="109"/>
        <w:gridCol w:w="109"/>
        <w:gridCol w:w="109"/>
        <w:gridCol w:w="222"/>
        <w:gridCol w:w="758"/>
        <w:gridCol w:w="114"/>
        <w:gridCol w:w="114"/>
        <w:gridCol w:w="114"/>
        <w:gridCol w:w="114"/>
        <w:gridCol w:w="222"/>
        <w:gridCol w:w="758"/>
        <w:gridCol w:w="114"/>
        <w:gridCol w:w="109"/>
        <w:gridCol w:w="109"/>
        <w:gridCol w:w="109"/>
        <w:gridCol w:w="211"/>
        <w:gridCol w:w="666"/>
        <w:gridCol w:w="109"/>
        <w:gridCol w:w="109"/>
        <w:gridCol w:w="109"/>
        <w:gridCol w:w="109"/>
        <w:gridCol w:w="211"/>
        <w:gridCol w:w="722"/>
        <w:gridCol w:w="158"/>
      </w:tblGrid>
      <w:tr>
        <w:trPr/>
        <w:tc>
          <w:tcPr>
            <w:tcW w:w="168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recognized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gains recognized during the period on equity securities sold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Unrealized gains (losses) recognized during the period on equity securities held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819</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9,298</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4,641</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9.     Derivative Instruments </w:t>
      </w:r>
    </w:p>
    <w:p>
      <w:pPr>
        <w:pStyle w:val="TextBody"/>
        <w:bidi w:val="0"/>
        <w:spacing w:before="0" w:after="0"/>
        <w:ind w:left="0" w:right="0" w:hanging="360"/>
        <w:jc w:val="left"/>
        <w:rPr/>
      </w:pPr>
      <w:r>
        <w:rPr/>
      </w:r>
    </w:p>
    <w:p>
      <w:pPr>
        <w:pStyle w:val="TextBody"/>
        <w:bidi w:val="0"/>
        <w:spacing w:lineRule="auto" w:line="288" w:before="0" w:after="0"/>
        <w:jc w:val="both"/>
        <w:rPr/>
      </w:pPr>
      <w:r>
        <w:rPr>
          <w:rFonts w:ascii="Times New Roman;serif" w:hAnsi="Times New Roman;serif"/>
          <w:b w:val="false"/>
          <w:i/>
          <w:color w:val="000000"/>
          <w:sz w:val="20"/>
        </w:rPr>
        <w:t>See Note 14, Consolidated Company-Sponsored Investment Funds</w:t>
      </w:r>
      <w:r>
        <w:rPr>
          <w:rFonts w:ascii="Times New Roman;serif" w:hAnsi="Times New Roman;serif"/>
          <w:b w:val="false"/>
          <w:color w:val="000000"/>
          <w:sz w:val="20"/>
        </w:rPr>
        <w:t>, for disclosure of derivative instruments held by our consolidated company-sponsored investment funds.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enter various futures, forwards, options and swaps to economically hedge certain seed capital investments. Also, we have currency forwards that help us to economically hedge certain balance sheet exposures. We do not hold any derivatives designated in a formal hedge relationship under ASC 815-10, </w:t>
      </w:r>
      <w:r>
        <w:rPr>
          <w:rFonts w:ascii="Times New Roman;serif" w:hAnsi="Times New Roman;serif"/>
          <w:b w:val="false"/>
          <w:i/>
          <w:color w:val="000000"/>
          <w:sz w:val="20"/>
        </w:rPr>
        <w:t>Derivatives and Hedging</w:t>
      </w:r>
      <w:r>
        <w:rPr>
          <w:rFonts w:ascii="Times New Roman;serif" w:hAnsi="Times New Roman;serif"/>
          <w:b w:val="false"/>
          <w:color w:val="000000"/>
          <w:sz w:val="20"/>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both"/>
        <w:rPr/>
      </w:pPr>
      <w:r>
        <w:rPr>
          <w:rFonts w:ascii="Times New Roman;serif" w:hAnsi="Times New Roman;serif"/>
          <w:b w:val="false"/>
          <w:color w:val="000000"/>
          <w:sz w:val="20"/>
        </w:rPr>
        <w:t xml:space="preserve">The notional value and fair value as of June 30, 2026 and December 31, 2025 for derivative instruments (excluding derivative instruments relating to our options desk trading activities </w:t>
      </w:r>
      <w:r>
        <w:rPr>
          <w:rFonts w:ascii="Times New Roman;serif" w:hAnsi="Times New Roman;serif"/>
          <w:b w:val="false"/>
          <w:i/>
          <w:color w:val="000000"/>
          <w:sz w:val="20"/>
        </w:rPr>
        <w:t>discussed below</w:t>
      </w:r>
      <w:r>
        <w:rPr>
          <w:rFonts w:ascii="Times New Roman;serif" w:hAnsi="Times New Roman;serif"/>
          <w:b w:val="false"/>
          <w:color w:val="000000"/>
          <w:sz w:val="20"/>
        </w:rPr>
        <w:t xml:space="preserve">) not designated as hedging instruments were as follows: </w:t>
      </w:r>
    </w:p>
    <w:tbl>
      <w:tblPr>
        <w:tblW w:w="7656" w:type="dxa"/>
        <w:jc w:val="left"/>
        <w:tblInd w:w="0" w:type="dxa"/>
        <w:tblLayout w:type="fixed"/>
        <w:tblCellMar>
          <w:top w:w="28" w:type="dxa"/>
          <w:left w:w="28" w:type="dxa"/>
          <w:bottom w:w="28" w:type="dxa"/>
          <w:right w:w="28" w:type="dxa"/>
        </w:tblCellMar>
      </w:tblPr>
      <w:tblGrid>
        <w:gridCol w:w="758"/>
        <w:gridCol w:w="666"/>
        <w:gridCol w:w="676"/>
        <w:gridCol w:w="250"/>
        <w:gridCol w:w="1000"/>
        <w:gridCol w:w="129"/>
        <w:gridCol w:w="109"/>
        <w:gridCol w:w="109"/>
        <w:gridCol w:w="109"/>
        <w:gridCol w:w="311"/>
        <w:gridCol w:w="1087"/>
        <w:gridCol w:w="161"/>
        <w:gridCol w:w="109"/>
        <w:gridCol w:w="109"/>
        <w:gridCol w:w="109"/>
        <w:gridCol w:w="376"/>
        <w:gridCol w:w="1314"/>
        <w:gridCol w:w="274"/>
      </w:tblGrid>
      <w:tr>
        <w:trPr/>
        <w:tc>
          <w:tcPr>
            <w:tcW w:w="75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 Liabilities</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Exchange-traded futures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forwards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default swaps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443,486 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return swaps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 swaps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881,902</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12,747</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17,731</w:t>
            </w:r>
            <w:r>
              <w:rPr>
                <w:color w:val="000000"/>
              </w:rPr>
              <w:t>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Exchange-traded futures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forwards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default swaps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return swaps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 swaps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876,144</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12,985</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17,615</w:t>
            </w:r>
            <w:r>
              <w:rPr>
                <w:color w:val="000000"/>
              </w:rPr>
              <w:t>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derivative assets and liabilities are included in both receivables and payables to brokers and dealers on our condensed consolidated statements of financial condition.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gains and losses for derivative instruments for the three and six months ended June 30, 2026 and 2025 recognized in investment gains (losses) in the condensed consolidated statements of income were as follows: </w:t>
      </w:r>
    </w:p>
    <w:tbl>
      <w:tblPr>
        <w:tblW w:w="8699" w:type="dxa"/>
        <w:jc w:val="left"/>
        <w:tblInd w:w="0" w:type="dxa"/>
        <w:tblLayout w:type="fixed"/>
        <w:tblCellMar>
          <w:top w:w="28" w:type="dxa"/>
          <w:left w:w="28" w:type="dxa"/>
          <w:bottom w:w="28" w:type="dxa"/>
          <w:right w:w="28" w:type="dxa"/>
        </w:tblCellMar>
      </w:tblPr>
      <w:tblGrid>
        <w:gridCol w:w="1179"/>
        <w:gridCol w:w="1037"/>
        <w:gridCol w:w="1038"/>
        <w:gridCol w:w="216"/>
        <w:gridCol w:w="816"/>
        <w:gridCol w:w="111"/>
        <w:gridCol w:w="111"/>
        <w:gridCol w:w="111"/>
        <w:gridCol w:w="111"/>
        <w:gridCol w:w="216"/>
        <w:gridCol w:w="816"/>
        <w:gridCol w:w="111"/>
        <w:gridCol w:w="109"/>
        <w:gridCol w:w="109"/>
        <w:gridCol w:w="109"/>
        <w:gridCol w:w="211"/>
        <w:gridCol w:w="691"/>
        <w:gridCol w:w="109"/>
        <w:gridCol w:w="109"/>
        <w:gridCol w:w="109"/>
        <w:gridCol w:w="109"/>
        <w:gridCol w:w="211"/>
        <w:gridCol w:w="796"/>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Exchange-traded futures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forwards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default swaps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return swaps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 swaps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(losses) on derivative instruments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(13,522)</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(11,074)</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(9,720)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(23,850)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be exposed to credit-related losses in the event of non-performance by counterparties to derivative financial instruments. We minimize our counterparty exposure through a credit review and approval process. In addition, we have executed various collateral arrangements with counterparties to the over-the-counter derivative transactions that require both pledging and accepting collateral in the form of cash. As of June 30, 2026 and December 31, 2025, we held $4.8 million and $5.5 million, respectively, of cash collateral payable to trade counterparties. This obligation to return cash is reported in payables to brokers and dealers in our condensed consolidated statements of financial condition.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Although notional amount typically is utilized as the measure of volume in the derivatives market, it is not used as a measure of credit risk. Generally, the current credit exposure of our derivative contracts is limited to the net positive estimated fair value of derivative contracts at the reporting date after taking into consideration the existence of netting agreements and any collateral received. A derivative with positive value (a derivative asset) indicates existence of credit risk because the counterparty would owe us if the contract were closed. Alternatively, a derivative contract with negative value (a derivative liability) indicates we would owe money to the counterparty if the contract were closed. Generally,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is more than one derivative transaction with a single counterparty, a master netting arrangement exists with respect to derivative transactions with that counterparty to provide for aggregate net settlement.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standardized contracts for over-the-counter derivative transactions, known as ISDA master agreements, provide for collateralization. As of June 30, 2026 and December 31, 2025, we delivered $13.1 million and $10.3 million, respectively, of cash collateral into brokerage accounts. We report this cash collateral in cash and cash equivalents in our condensed consolidated statement of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10.     Offsetting Assets and Liabilities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See Note 14, Consolidated Company-Sponsored Investment Funds</w:t>
      </w:r>
      <w:r>
        <w:rPr>
          <w:rFonts w:ascii="Times New Roman;serif" w:hAnsi="Times New Roman;serif"/>
          <w:b w:val="false"/>
          <w:color w:val="000000"/>
          <w:sz w:val="20"/>
        </w:rPr>
        <w:t>, for disclosure of offsetting assets and liabilities of our consolidated company-sponsored investment funds.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Offsetting of assets as of June 30, 2026 and December 31, 2025 was as follows: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25"/>
        <w:gridCol w:w="290"/>
        <w:gridCol w:w="210"/>
        <w:gridCol w:w="261"/>
        <w:gridCol w:w="894"/>
        <w:gridCol w:w="136"/>
        <w:gridCol w:w="109"/>
        <w:gridCol w:w="109"/>
        <w:gridCol w:w="109"/>
        <w:gridCol w:w="400"/>
        <w:gridCol w:w="774"/>
        <w:gridCol w:w="209"/>
        <w:gridCol w:w="109"/>
        <w:gridCol w:w="109"/>
        <w:gridCol w:w="109"/>
        <w:gridCol w:w="315"/>
        <w:gridCol w:w="1079"/>
        <w:gridCol w:w="163"/>
        <w:gridCol w:w="109"/>
        <w:gridCol w:w="109"/>
        <w:gridCol w:w="109"/>
        <w:gridCol w:w="228"/>
        <w:gridCol w:w="857"/>
        <w:gridCol w:w="117"/>
        <w:gridCol w:w="109"/>
        <w:gridCol w:w="109"/>
        <w:gridCol w:w="109"/>
        <w:gridCol w:w="219"/>
        <w:gridCol w:w="689"/>
        <w:gridCol w:w="113"/>
        <w:gridCol w:w="109"/>
        <w:gridCol w:w="109"/>
        <w:gridCol w:w="109"/>
        <w:gridCol w:w="211"/>
        <w:gridCol w:w="616"/>
        <w:gridCol w:w="164"/>
      </w:tblGrid>
      <w:tr>
        <w:trPr/>
        <w:tc>
          <w:tcPr>
            <w:tcW w:w="6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 of Recognized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 Offset in the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Amounts of Assets Presented in the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w:t>
              <w:br/>
              <w:t>Instruments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br/>
              <w:t>Amount</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June 30, 2026:</w:t>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borrowed</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borrowed</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Offsetting of liabilities as of June 30, 2026 and December 31, 2025 was as follows: </w:t>
      </w:r>
    </w:p>
    <w:tbl>
      <w:tblPr>
        <w:tblW w:w="10205" w:type="dxa"/>
        <w:jc w:val="left"/>
        <w:tblInd w:w="0" w:type="dxa"/>
        <w:tblLayout w:type="fixed"/>
        <w:tblCellMar>
          <w:top w:w="28" w:type="dxa"/>
          <w:left w:w="28" w:type="dxa"/>
          <w:bottom w:w="28" w:type="dxa"/>
          <w:right w:w="28" w:type="dxa"/>
        </w:tblCellMar>
      </w:tblPr>
      <w:tblGrid>
        <w:gridCol w:w="557"/>
        <w:gridCol w:w="355"/>
        <w:gridCol w:w="205"/>
        <w:gridCol w:w="263"/>
        <w:gridCol w:w="901"/>
        <w:gridCol w:w="137"/>
        <w:gridCol w:w="109"/>
        <w:gridCol w:w="109"/>
        <w:gridCol w:w="109"/>
        <w:gridCol w:w="386"/>
        <w:gridCol w:w="746"/>
        <w:gridCol w:w="201"/>
        <w:gridCol w:w="109"/>
        <w:gridCol w:w="109"/>
        <w:gridCol w:w="109"/>
        <w:gridCol w:w="310"/>
        <w:gridCol w:w="1062"/>
        <w:gridCol w:w="160"/>
        <w:gridCol w:w="109"/>
        <w:gridCol w:w="109"/>
        <w:gridCol w:w="109"/>
        <w:gridCol w:w="345"/>
        <w:gridCol w:w="666"/>
        <w:gridCol w:w="180"/>
        <w:gridCol w:w="109"/>
        <w:gridCol w:w="109"/>
        <w:gridCol w:w="109"/>
        <w:gridCol w:w="216"/>
        <w:gridCol w:w="762"/>
        <w:gridCol w:w="111"/>
        <w:gridCol w:w="109"/>
        <w:gridCol w:w="109"/>
        <w:gridCol w:w="109"/>
        <w:gridCol w:w="214"/>
        <w:gridCol w:w="625"/>
        <w:gridCol w:w="168"/>
      </w:tblGrid>
      <w:tr>
        <w:trPr/>
        <w:tc>
          <w:tcPr>
            <w:tcW w:w="55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 of Recognized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 Offset in the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Amounts of Liabilities Presented in the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w:t>
              <w:br/>
              <w:t>Instruments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Amount</w:t>
            </w:r>
          </w:p>
        </w:tc>
      </w:tr>
      <w:tr>
        <w:trPr/>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June 30, 2026:</w:t>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loaned</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loaned</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collateral, whether pledged or received on derivative instruments, is not considered material and, accordingly, is not disclosed by counterparty.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11.     Fair Value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See Note 14, Consolidated Company-Sponsored Investment Funds</w:t>
      </w:r>
      <w:r>
        <w:rPr>
          <w:rFonts w:ascii="Times New Roman;serif" w:hAnsi="Times New Roman;serif"/>
          <w:b w:val="false"/>
          <w:color w:val="000000"/>
          <w:sz w:val="20"/>
        </w:rPr>
        <w:t>, for disclosure of fair value of our consolidated company-sponsored investment funds.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both"/>
        <w:rPr/>
      </w:pPr>
      <w:r>
        <w:rPr>
          <w:rFonts w:ascii="Times New Roman;serif" w:hAnsi="Times New Roman;serif"/>
          <w:b w:val="false"/>
          <w:color w:val="000000"/>
          <w:sz w:val="20"/>
        </w:rPr>
        <w:t>Fair value is defined as the price that would be received to sell an asset or paid to transfer a liability (</w:t>
      </w:r>
      <w:r>
        <w:rPr>
          <w:rFonts w:ascii="Times New Roman;serif" w:hAnsi="Times New Roman;serif"/>
          <w:b w:val="false"/>
          <w:i/>
          <w:color w:val="000000"/>
          <w:sz w:val="20"/>
        </w:rPr>
        <w:t>i.e.</w:t>
      </w:r>
      <w:r>
        <w:rPr>
          <w:rFonts w:ascii="Times New Roman;serif" w:hAnsi="Times New Roman;serif"/>
          <w:b w:val="false"/>
          <w:color w:val="000000"/>
          <w:sz w:val="20"/>
        </w:rPr>
        <w:t xml:space="preserve">, the “exit price”) in an orderly transaction between market participants at the measurement date. The three broad levels of fair value hierarchy are as follows: </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Level 1 – Quoted prices in active markets are available for identical assets or liabilities as of the reported date. </w:t>
      </w:r>
    </w:p>
    <w:p>
      <w:pPr>
        <w:pStyle w:val="TextBody"/>
        <w:bidi w:val="0"/>
        <w:spacing w:before="0" w:after="0"/>
        <w:jc w:val="both"/>
        <w:rPr/>
      </w:pPr>
      <w:r>
        <w:rPr/>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 xml:space="preserve">Level 2 – Quoted prices in markets that are not active or other pricing inputs that are either directly or indirectly observable as of the reported date. </w:t>
      </w:r>
    </w:p>
    <w:p>
      <w:pPr>
        <w:pStyle w:val="TextBody"/>
        <w:bidi w:val="0"/>
        <w:spacing w:before="0" w:after="0"/>
        <w:jc w:val="both"/>
        <w:rPr/>
      </w:pPr>
      <w:r>
        <w:rPr/>
      </w:r>
    </w:p>
    <w:p>
      <w:pPr>
        <w:pStyle w:val="TextBody"/>
        <w:bidi w:val="0"/>
        <w:spacing w:lineRule="auto" w:line="288" w:before="0" w:after="180"/>
        <w:ind w:left="0" w:right="0" w:hanging="360"/>
        <w:jc w:val="both"/>
        <w:rPr>
          <w:color w:val="000000"/>
        </w:rPr>
      </w:pPr>
      <w:r>
        <w:rPr>
          <w:color w:val="000000"/>
        </w:rPr>
        <w:t>•    </w:t>
      </w:r>
      <w:r>
        <w:rPr>
          <w:rFonts w:ascii="Times New Roman;serif" w:hAnsi="Times New Roman;serif"/>
          <w:b w:val="false"/>
          <w:color w:val="000000"/>
          <w:sz w:val="20"/>
        </w:rPr>
        <w:t xml:space="preserve">Level 3 – Prices or valuation techniques that are both significant to the fair value measurement and unobservable as of the reported date. These financial instruments do not have two-way markets and are measured using management’s best estimate of fair value, where the inputs into the determination of fair value require significant management judgment or estimation.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Assets and Liabilities Measured at Fair Value on a Recurring Basis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Valuation of our financial instruments by pricing observability levels as of June 30, 2026 and December 31, 2025 was as follows (in thousands): </w:t>
      </w:r>
    </w:p>
    <w:tbl>
      <w:tblPr>
        <w:tblW w:w="10205" w:type="dxa"/>
        <w:jc w:val="left"/>
        <w:tblInd w:w="0" w:type="dxa"/>
        <w:tblLayout w:type="fixed"/>
        <w:tblCellMar>
          <w:top w:w="28" w:type="dxa"/>
          <w:left w:w="28" w:type="dxa"/>
          <w:bottom w:w="28" w:type="dxa"/>
          <w:right w:w="28" w:type="dxa"/>
        </w:tblCellMar>
      </w:tblPr>
      <w:tblGrid>
        <w:gridCol w:w="1097"/>
        <w:gridCol w:w="869"/>
        <w:gridCol w:w="832"/>
        <w:gridCol w:w="211"/>
        <w:gridCol w:w="841"/>
        <w:gridCol w:w="109"/>
        <w:gridCol w:w="109"/>
        <w:gridCol w:w="109"/>
        <w:gridCol w:w="109"/>
        <w:gridCol w:w="211"/>
        <w:gridCol w:w="841"/>
        <w:gridCol w:w="109"/>
        <w:gridCol w:w="109"/>
        <w:gridCol w:w="109"/>
        <w:gridCol w:w="109"/>
        <w:gridCol w:w="211"/>
        <w:gridCol w:w="631"/>
        <w:gridCol w:w="109"/>
        <w:gridCol w:w="109"/>
        <w:gridCol w:w="109"/>
        <w:gridCol w:w="109"/>
        <w:gridCol w:w="406"/>
        <w:gridCol w:w="782"/>
        <w:gridCol w:w="211"/>
        <w:gridCol w:w="109"/>
        <w:gridCol w:w="109"/>
        <w:gridCol w:w="109"/>
        <w:gridCol w:w="109"/>
        <w:gridCol w:w="109"/>
        <w:gridCol w:w="211"/>
        <w:gridCol w:w="841"/>
        <w:gridCol w:w="157"/>
      </w:tblGrid>
      <w:tr>
        <w:trPr/>
        <w:tc>
          <w:tcPr>
            <w:tcW w:w="10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NAV Expedient</w:t>
            </w:r>
            <w:r>
              <w:rPr>
                <w:rFonts w:ascii="Times New Roman;serif" w:hAnsi="Times New Roman;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June 30, 2026:</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segregated (U.S. Treasury Bills)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Derivatives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210,618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295,545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506,329</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payment arrangements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26,420</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segregated (U.S. Treasury Bills)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Derivatives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330,081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577,321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907,566</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payment arrangements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measured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8,605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26,220</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Investments measured at fair value using NAV (or its equivalent) as a practical expedient.</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Other investments included in Level 1 of the fair value hierarchy include our investment in a mutual fund measured at fair value.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both"/>
        <w:rPr/>
      </w:pPr>
      <w:r>
        <w:rPr>
          <w:rFonts w:ascii="Times New Roman;serif" w:hAnsi="Times New Roman;serif"/>
          <w:b w:val="false"/>
          <w:color w:val="000000"/>
          <w:sz w:val="20"/>
        </w:rPr>
        <w:t xml:space="preserve">We </w:t>
      </w:r>
      <w:r>
        <w:rPr>
          <w:rFonts w:ascii="Times New Roman;serif" w:hAnsi="Times New Roman;serif"/>
          <w:b w:val="false"/>
          <w:i/>
          <w:color w:val="000000"/>
          <w:sz w:val="20"/>
        </w:rPr>
        <w:t>provide below</w:t>
      </w:r>
      <w:r>
        <w:rPr>
          <w:color w:val="000000"/>
        </w:rPr>
        <w:t xml:space="preserve"> </w:t>
      </w:r>
      <w:r>
        <w:rPr>
          <w:rFonts w:ascii="Times New Roman;serif" w:hAnsi="Times New Roman;serif"/>
          <w:b w:val="false"/>
          <w:color w:val="000000"/>
          <w:sz w:val="20"/>
        </w:rPr>
        <w:t xml:space="preserve">a description of the fair value methodologies used for instruments measured at fair value, as well as the general classification of such instruments pursuant to the valuation hierarchy: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u w:val="single"/>
        </w:rPr>
        <w:t>Money markets</w:t>
      </w:r>
      <w:r>
        <w:rPr>
          <w:rFonts w:ascii="Times New Roman;serif" w:hAnsi="Times New Roman;serif"/>
          <w:b w:val="false"/>
          <w:color w:val="000000"/>
          <w:sz w:val="20"/>
        </w:rPr>
        <w:t xml:space="preserve">: We invest excess cash in various money market funds that are valued based on quoted prices in active markets; these are included in Level 1 of the valuation hierarchy.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u w:val="single"/>
        </w:rPr>
        <w:t>Treasury Bills</w:t>
      </w:r>
      <w:r>
        <w:rPr>
          <w:rFonts w:ascii="Times New Roman;serif" w:hAnsi="Times New Roman;serif"/>
          <w:b w:val="false"/>
          <w:color w:val="000000"/>
          <w:sz w:val="20"/>
        </w:rPr>
        <w:t xml:space="preserve">: We hold U.S. Treasury Bills, which are primarily segregated in a special reserve bank custody account as required by Rule 15c3-3 of the Exchange Act. These securities are valued based on quoted yields in secondary markets and are included in Level 2 of the valuation hierarchy.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u w:val="single"/>
        </w:rPr>
        <w:t>Equity securities</w:t>
      </w:r>
      <w:r>
        <w:rPr>
          <w:rFonts w:ascii="Times New Roman;serif" w:hAnsi="Times New Roman;serif"/>
          <w:b w:val="false"/>
          <w:color w:val="000000"/>
          <w:sz w:val="20"/>
        </w:rPr>
        <w:t xml:space="preserve">: Our equity securities consist principally of company-sponsored mutual funds with NAVs and various separately-managed portfolios consisting primarily of equity and fixed income mutual funds with quoted prices in active markets, which are included in Level 1 of the valuation hierarchy. In addition, some securities are valued based on observable inputs from recognized pricing vendors, which are included in Level 2 of the valuation hierarchy.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u w:val="single"/>
        </w:rPr>
        <w:t>Derivatives</w:t>
      </w:r>
      <w:r>
        <w:rPr>
          <w:rFonts w:ascii="Times New Roman;serif" w:hAnsi="Times New Roman;serif"/>
          <w:b w:val="false"/>
          <w:color w:val="000000"/>
          <w:sz w:val="20"/>
        </w:rPr>
        <w:t xml:space="preserve">: We hold exchange-traded futures with counterparties that are included in Level 1 of the valuation hierarchy. In addition, we also hold currency forward contracts, interest rate swaps, credit default swaps, option swaps and total return swaps with counterparties that are valued based on observable inputs from recognized pricing vendors, which are included in Level 2 of the valuation hierarchy. </w:t>
      </w:r>
    </w:p>
    <w:p>
      <w:pPr>
        <w:pStyle w:val="TextBody"/>
        <w:bidi w:val="0"/>
        <w:spacing w:before="0" w:after="0"/>
        <w:jc w:val="both"/>
        <w:rPr/>
      </w:pPr>
      <w:r>
        <w:rPr/>
      </w:r>
    </w:p>
    <w:p>
      <w:pPr>
        <w:pStyle w:val="TextBody"/>
        <w:bidi w:val="0"/>
        <w:spacing w:lineRule="auto" w:line="288" w:before="0" w:after="180"/>
        <w:ind w:left="0" w:right="0" w:hanging="360"/>
        <w:jc w:val="both"/>
        <w:rPr/>
      </w:pPr>
      <w:r>
        <w:rPr>
          <w:color w:val="000000"/>
        </w:rPr>
        <w:t>•    </w:t>
      </w:r>
      <w:r>
        <w:rPr>
          <w:rFonts w:ascii="Times New Roman;serif" w:hAnsi="Times New Roman;serif"/>
          <w:b w:val="false"/>
          <w:color w:val="000000"/>
          <w:sz w:val="20"/>
          <w:u w:val="single"/>
        </w:rPr>
        <w:t>Contingent payment arrangements</w:t>
      </w:r>
      <w:r>
        <w:rPr>
          <w:rFonts w:ascii="Times New Roman;serif" w:hAnsi="Times New Roman;serif"/>
          <w:b w:val="false"/>
          <w:color w:val="000000"/>
          <w:sz w:val="20"/>
        </w:rPr>
        <w:t xml:space="preserve">: Contingent payment arrangements relate to contingent payment liabilities associated with various acquisitions. At each reporting date, we estimate the fair values of the contingent consideration expected to be paid based upon probability-weighted AUM and revenue projections, using unobservable market data inputs, which are included in Level 3 of the valuation hierarchy.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there were no transfers between Level 2 and Level 3 securities.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carrying value associated with Level 3 financial instruments carried at fair value, classified as equity securities, is as follows: </w:t>
      </w:r>
    </w:p>
    <w:tbl>
      <w:tblPr>
        <w:tblW w:w="8567" w:type="dxa"/>
        <w:jc w:val="left"/>
        <w:tblInd w:w="0" w:type="dxa"/>
        <w:tblLayout w:type="fixed"/>
        <w:tblCellMar>
          <w:top w:w="28" w:type="dxa"/>
          <w:left w:w="28" w:type="dxa"/>
          <w:bottom w:w="28" w:type="dxa"/>
          <w:right w:w="28" w:type="dxa"/>
        </w:tblCellMar>
      </w:tblPr>
      <w:tblGrid>
        <w:gridCol w:w="1037"/>
        <w:gridCol w:w="912"/>
        <w:gridCol w:w="915"/>
        <w:gridCol w:w="109"/>
        <w:gridCol w:w="109"/>
        <w:gridCol w:w="109"/>
        <w:gridCol w:w="287"/>
        <w:gridCol w:w="654"/>
        <w:gridCol w:w="148"/>
        <w:gridCol w:w="148"/>
        <w:gridCol w:w="148"/>
        <w:gridCol w:w="148"/>
        <w:gridCol w:w="287"/>
        <w:gridCol w:w="654"/>
        <w:gridCol w:w="148"/>
        <w:gridCol w:w="109"/>
        <w:gridCol w:w="109"/>
        <w:gridCol w:w="109"/>
        <w:gridCol w:w="259"/>
        <w:gridCol w:w="592"/>
        <w:gridCol w:w="134"/>
        <w:gridCol w:w="134"/>
        <w:gridCol w:w="134"/>
        <w:gridCol w:w="134"/>
        <w:gridCol w:w="259"/>
        <w:gridCol w:w="592"/>
        <w:gridCol w:w="189"/>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w:t>
            </w: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w:t>
            </w:r>
            <w:r>
              <w:rPr>
                <w:color w:val="000000"/>
              </w:rPr>
              <w:t>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Realized and unrealized gains and losses on Level 3 financial instruments are recorded in investment gains and losses in the condensed consolidated statements of income.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Our acquisitions may include contingent consideration arrangements as part of the purchase price. The change in carrying value associated with Level 3 financial instruments carried at fair value, classified as contingent payment arrangements, is as follows: </w:t>
      </w:r>
    </w:p>
    <w:tbl>
      <w:tblPr>
        <w:tblW w:w="8566" w:type="dxa"/>
        <w:jc w:val="left"/>
        <w:tblInd w:w="0" w:type="dxa"/>
        <w:tblLayout w:type="fixed"/>
        <w:tblCellMar>
          <w:top w:w="28" w:type="dxa"/>
          <w:left w:w="28" w:type="dxa"/>
          <w:bottom w:w="28" w:type="dxa"/>
          <w:right w:w="28" w:type="dxa"/>
        </w:tblCellMar>
      </w:tblPr>
      <w:tblGrid>
        <w:gridCol w:w="1037"/>
        <w:gridCol w:w="912"/>
        <w:gridCol w:w="915"/>
        <w:gridCol w:w="109"/>
        <w:gridCol w:w="109"/>
        <w:gridCol w:w="109"/>
        <w:gridCol w:w="248"/>
        <w:gridCol w:w="743"/>
        <w:gridCol w:w="128"/>
        <w:gridCol w:w="128"/>
        <w:gridCol w:w="128"/>
        <w:gridCol w:w="128"/>
        <w:gridCol w:w="248"/>
        <w:gridCol w:w="743"/>
        <w:gridCol w:w="128"/>
        <w:gridCol w:w="109"/>
        <w:gridCol w:w="109"/>
        <w:gridCol w:w="109"/>
        <w:gridCol w:w="225"/>
        <w:gridCol w:w="674"/>
        <w:gridCol w:w="116"/>
        <w:gridCol w:w="116"/>
        <w:gridCol w:w="116"/>
        <w:gridCol w:w="116"/>
        <w:gridCol w:w="225"/>
        <w:gridCol w:w="674"/>
        <w:gridCol w:w="164"/>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8,689</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8,520</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8,689</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8,520</w:t>
            </w:r>
            <w:r>
              <w:rPr>
                <w:color w:val="000000"/>
              </w:rPr>
              <w:t>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expected revenue growth rates ranged from 2.0% to 8.0%, with a weighted average of 4.9%, calculated using cumulative revenues and range of revenue growth rates and a discount rate of 1.9%. As of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expected revenue growth rates ranged from 2.0% to 13.3%, with a weighted average of 6.8%, calculated using cumulative revenues and a range of revenue growth rates and a discount rate of 1.9%.</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Assets and Liabilities Measured at Fair Value on a Nonrecurring Basis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did not have any material assets or liabilities that were measured at fair value for impairment on a nonrecurring basis during the six months ended June 30, 2026 or during the year ended December 31,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Legal Proceedings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significant litigation matters, we assess the likelihood of a negative outcome. If a negative outcome is probable and the loss can be reasonably estimated, we record an estimated loss. If a negative outcome is reasonably possible and we can estimate the potential loss or range of loss, or if a negative outcome is probable and we can estimate the potential loss or range of loss beyond any amounts already accrued, we disclose this information. However, predicting outcomes or estimating losses is often challenging due to litigation uncertainties, especially in early stages or complex cases. In such instances, we disclose our inability to predict the outcome or estimate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may face regulatory inquiries, administrative proceedings, and litigation, some alleging significant damages. While it is possible we could incur losses from these matters, we cannot currently estimate such losses or their range. Management, after consulting with legal counsel, believes that the outcome of any individual or combined matters will not materially affect our operations, financial condition, or liquidity. However, due to inherent uncertainties, future developments could potentially have a material adverse effect on our results, financial condition, or liquidity in future reporting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Commitments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2024, we entered into a non-exclusive partnership with Reinsurance Group of America, Incorporated (“RGA”) under which we committed to invest $100.0 million in a reinsurance sidecar vehicle sponsored by RGA and focused on the U.S. asset-intensive reinsurance market. AB will manage private alternative assets for RGA’s general account as part of a separate transaction. As of June 30, 2026, we have funded $0.1 million of this commitment.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2025, we entered into a non-exclusive partnership with Carlyle Investment Management L.L.C. (the "Asset Management Sponsor") and Fortitude International Ltd. (the "Insurance Sponsor and/or their respective affiliates"), and together (the "Sponsors") under which we committed to invest $100.0 million in a reinsurance sidecar vehicle Carlyle FCA Re, L.P. (the "FCA Re Sidecar"). The FCA Re Sidecar is focused on reinsuring life and annuity liabilities in Asia. AB will manage private alternative assets for the Insurance Sponsor as part of a separate transaction. As of June 30, 2026, we have not funded any of this commitment.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13.     Leases </w:t>
      </w:r>
    </w:p>
    <w:p>
      <w:pPr>
        <w:pStyle w:val="TextBody"/>
        <w:bidi w:val="0"/>
        <w:spacing w:before="0" w:after="0"/>
        <w:ind w:left="0" w:right="0" w:hanging="36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lease office space, furniture and office equipment under various operating and financing leases. Our current leases have remaining lease terms of one year to 20 years, some of which include options to extend the leases for up to five years, and some of which include options to terminate the leases within one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Leases included in the condensed consolidated statement of financial condition as of June 30, 2026 and December 31, 2025 were as follows:</w:t>
      </w:r>
    </w:p>
    <w:tbl>
      <w:tblPr>
        <w:tblW w:w="8240" w:type="dxa"/>
        <w:jc w:val="center"/>
        <w:tblInd w:w="0" w:type="dxa"/>
        <w:tblLayout w:type="fixed"/>
        <w:tblCellMar>
          <w:top w:w="28" w:type="dxa"/>
          <w:left w:w="28" w:type="dxa"/>
          <w:bottom w:w="28" w:type="dxa"/>
          <w:right w:w="28" w:type="dxa"/>
        </w:tblCellMar>
      </w:tblPr>
      <w:tblGrid>
        <w:gridCol w:w="1054"/>
        <w:gridCol w:w="925"/>
        <w:gridCol w:w="930"/>
        <w:gridCol w:w="544"/>
        <w:gridCol w:w="544"/>
        <w:gridCol w:w="546"/>
        <w:gridCol w:w="109"/>
        <w:gridCol w:w="109"/>
        <w:gridCol w:w="109"/>
        <w:gridCol w:w="234"/>
        <w:gridCol w:w="919"/>
        <w:gridCol w:w="121"/>
        <w:gridCol w:w="109"/>
        <w:gridCol w:w="109"/>
        <w:gridCol w:w="109"/>
        <w:gridCol w:w="313"/>
        <w:gridCol w:w="1228"/>
        <w:gridCol w:w="228"/>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448,177 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511,308 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(14,259)</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Finance lease liabilities </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included in the condensed consolidated statement of income as of June 30, 2026 and June 30, 2025 were as follows:</w:t>
      </w:r>
    </w:p>
    <w:tbl>
      <w:tblPr>
        <w:tblW w:w="10205" w:type="dxa"/>
        <w:jc w:val="center"/>
        <w:tblInd w:w="0" w:type="dxa"/>
        <w:tblLayout w:type="fixed"/>
        <w:tblCellMar>
          <w:top w:w="28" w:type="dxa"/>
          <w:left w:w="28" w:type="dxa"/>
          <w:bottom w:w="28" w:type="dxa"/>
          <w:right w:w="28" w:type="dxa"/>
        </w:tblCellMar>
      </w:tblPr>
      <w:tblGrid>
        <w:gridCol w:w="942"/>
        <w:gridCol w:w="769"/>
        <w:gridCol w:w="775"/>
        <w:gridCol w:w="678"/>
        <w:gridCol w:w="678"/>
        <w:gridCol w:w="685"/>
        <w:gridCol w:w="109"/>
        <w:gridCol w:w="109"/>
        <w:gridCol w:w="109"/>
        <w:gridCol w:w="225"/>
        <w:gridCol w:w="769"/>
        <w:gridCol w:w="115"/>
        <w:gridCol w:w="115"/>
        <w:gridCol w:w="115"/>
        <w:gridCol w:w="115"/>
        <w:gridCol w:w="225"/>
        <w:gridCol w:w="769"/>
        <w:gridCol w:w="115"/>
        <w:gridCol w:w="109"/>
        <w:gridCol w:w="109"/>
        <w:gridCol w:w="109"/>
        <w:gridCol w:w="211"/>
        <w:gridCol w:w="721"/>
        <w:gridCol w:w="109"/>
        <w:gridCol w:w="109"/>
        <w:gridCol w:w="109"/>
        <w:gridCol w:w="109"/>
        <w:gridCol w:w="211"/>
        <w:gridCol w:w="721"/>
        <w:gridCol w:w="161"/>
      </w:tblGrid>
      <w:tr>
        <w:trPr/>
        <w:tc>
          <w:tcPr>
            <w:tcW w:w="94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cost:</w:t>
            </w:r>
          </w:p>
        </w:tc>
        <w:tc>
          <w:tcPr>
            <w:tcW w:w="2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cost</w:t>
            </w:r>
          </w:p>
        </w:tc>
        <w:tc>
          <w:tcPr>
            <w:tcW w:w="2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Variable lease cost </w:t>
            </w:r>
            <w:r>
              <w:rPr>
                <w:rFonts w:ascii="Times New Roman;serif" w:hAnsi="Times New Roman;serif"/>
                <w:b w:val="false"/>
                <w:color w:val="000000"/>
                <w:sz w:val="13"/>
              </w:rPr>
              <w:t>(1)</w:t>
            </w:r>
          </w:p>
        </w:tc>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lease cost</w:t>
            </w:r>
          </w:p>
        </w:tc>
        <w:tc>
          <w:tcPr>
            <w:tcW w:w="2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Variable lease expense includes operating expenses, real estate taxes and employee parking.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sub-lease income represents all revenues received from sub-tenants. It is primarily fixed base rental payments combined with variable reimbursements such as operating expenses, real estate taxes and employee parking. The vast majority of sub-tenant income is derived from our New York metro sub-tenant agreements. Sub-tenant income related to base rent is recorded on a straight-line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Maturities of lease liabilities were as follows:</w:t>
      </w:r>
    </w:p>
    <w:tbl>
      <w:tblPr>
        <w:tblW w:w="9389" w:type="dxa"/>
        <w:jc w:val="center"/>
        <w:tblInd w:w="0" w:type="dxa"/>
        <w:tblLayout w:type="fixed"/>
        <w:tblCellMar>
          <w:top w:w="28" w:type="dxa"/>
          <w:left w:w="28" w:type="dxa"/>
          <w:bottom w:w="28" w:type="dxa"/>
          <w:right w:w="28" w:type="dxa"/>
        </w:tblCellMar>
      </w:tblPr>
      <w:tblGrid>
        <w:gridCol w:w="1624"/>
        <w:gridCol w:w="1426"/>
        <w:gridCol w:w="1435"/>
        <w:gridCol w:w="292"/>
        <w:gridCol w:w="1146"/>
        <w:gridCol w:w="151"/>
        <w:gridCol w:w="109"/>
        <w:gridCol w:w="109"/>
        <w:gridCol w:w="109"/>
        <w:gridCol w:w="319"/>
        <w:gridCol w:w="1091"/>
        <w:gridCol w:w="165"/>
        <w:gridCol w:w="109"/>
        <w:gridCol w:w="109"/>
        <w:gridCol w:w="109"/>
        <w:gridCol w:w="211"/>
        <w:gridCol w:w="721"/>
        <w:gridCol w:w="154"/>
      </w:tblGrid>
      <w:tr>
        <w:trPr/>
        <w:tc>
          <w:tcPr>
            <w:tcW w:w="162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49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(excluding the six months ended June 30, 2026)</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56,037 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444,154 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710,941 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512,711 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10,073 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837" w:type="dxa"/>
        <w:jc w:val="left"/>
        <w:tblInd w:w="0" w:type="dxa"/>
        <w:tblLayout w:type="fixed"/>
        <w:tblCellMar>
          <w:top w:w="28" w:type="dxa"/>
          <w:left w:w="28" w:type="dxa"/>
          <w:bottom w:w="28" w:type="dxa"/>
          <w:right w:w="28" w:type="dxa"/>
        </w:tblCellMar>
      </w:tblPr>
      <w:tblGrid>
        <w:gridCol w:w="1433"/>
        <w:gridCol w:w="1261"/>
        <w:gridCol w:w="1266"/>
        <w:gridCol w:w="255"/>
        <w:gridCol w:w="256"/>
        <w:gridCol w:w="366"/>
      </w:tblGrid>
      <w:tr>
        <w:trPr/>
        <w:tc>
          <w:tcPr>
            <w:tcW w:w="1433"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term and discount rate:</w:t>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Supplemental non-cash activity related to leases was as follows:</w:t>
      </w:r>
    </w:p>
    <w:tbl>
      <w:tblPr>
        <w:tblW w:w="8044" w:type="dxa"/>
        <w:jc w:val="center"/>
        <w:tblInd w:w="0" w:type="dxa"/>
        <w:tblLayout w:type="fixed"/>
        <w:tblCellMar>
          <w:top w:w="28" w:type="dxa"/>
          <w:left w:w="28" w:type="dxa"/>
          <w:bottom w:w="28" w:type="dxa"/>
          <w:right w:w="28" w:type="dxa"/>
        </w:tblCellMar>
      </w:tblPr>
      <w:tblGrid>
        <w:gridCol w:w="1944"/>
        <w:gridCol w:w="1708"/>
        <w:gridCol w:w="1718"/>
        <w:gridCol w:w="381"/>
        <w:gridCol w:w="258"/>
        <w:gridCol w:w="258"/>
        <w:gridCol w:w="258"/>
        <w:gridCol w:w="258"/>
        <w:gridCol w:w="258"/>
        <w:gridCol w:w="381"/>
        <w:gridCol w:w="258"/>
        <w:gridCol w:w="364"/>
      </w:tblGrid>
      <w:tr>
        <w:trPr/>
        <w:tc>
          <w:tcPr>
            <w:tcW w:w="1944"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Right-of-use assets obtained in exchange for lease obligations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Represents non-cash activity and, accordingly, is not reflected in the condensed consolidated statement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14. Consolidated Company-Sponsored Investment Funds </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regularly provide seed capital to new company-sponsored investment funds. As such, we may consolidate or de-consolidate a variety of company-sponsored investment funds each quarter. Due to the similarity of risks related to our involvement with each company-sponsored investment fund, disclosures required under the VIE model are aggregated, such as disclosures regarding the carrying amount and classification of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not required to provide financial support to company-sponsored investment funds, and only the assets of such funds are available to settle each fund's own liabilities. Our exposure to loss regarding consolidated company-sponsored investment funds is limited to our investment in, and our management fee earned from, such funds. Equity and debt holders of such funds have no recourse to AB’s assets or to the general credit of AB.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balances of consolidated VIEs and VOEs included in our condensed consolidated statements of financial condition were as follows:</w:t>
      </w:r>
    </w:p>
    <w:tbl>
      <w:tblPr>
        <w:tblW w:w="10205" w:type="dxa"/>
        <w:jc w:val="center"/>
        <w:tblInd w:w="0" w:type="dxa"/>
        <w:tblLayout w:type="fixed"/>
        <w:tblCellMar>
          <w:top w:w="28" w:type="dxa"/>
          <w:left w:w="28" w:type="dxa"/>
          <w:bottom w:w="28" w:type="dxa"/>
          <w:right w:w="28" w:type="dxa"/>
        </w:tblCellMar>
      </w:tblPr>
      <w:tblGrid>
        <w:gridCol w:w="761"/>
        <w:gridCol w:w="339"/>
        <w:gridCol w:w="341"/>
        <w:gridCol w:w="109"/>
        <w:gridCol w:w="109"/>
        <w:gridCol w:w="109"/>
        <w:gridCol w:w="211"/>
        <w:gridCol w:w="841"/>
        <w:gridCol w:w="109"/>
        <w:gridCol w:w="109"/>
        <w:gridCol w:w="109"/>
        <w:gridCol w:w="109"/>
        <w:gridCol w:w="211"/>
        <w:gridCol w:w="736"/>
        <w:gridCol w:w="109"/>
        <w:gridCol w:w="109"/>
        <w:gridCol w:w="109"/>
        <w:gridCol w:w="109"/>
        <w:gridCol w:w="211"/>
        <w:gridCol w:w="841"/>
        <w:gridCol w:w="109"/>
        <w:gridCol w:w="109"/>
        <w:gridCol w:w="109"/>
        <w:gridCol w:w="109"/>
        <w:gridCol w:w="211"/>
        <w:gridCol w:w="841"/>
        <w:gridCol w:w="109"/>
        <w:gridCol w:w="109"/>
        <w:gridCol w:w="109"/>
        <w:gridCol w:w="109"/>
        <w:gridCol w:w="211"/>
        <w:gridCol w:w="736"/>
        <w:gridCol w:w="109"/>
        <w:gridCol w:w="109"/>
        <w:gridCol w:w="109"/>
        <w:gridCol w:w="109"/>
        <w:gridCol w:w="211"/>
        <w:gridCol w:w="841"/>
        <w:gridCol w:w="155"/>
      </w:tblGrid>
      <w:tr>
        <w:trPr/>
        <w:tc>
          <w:tcPr>
            <w:tcW w:w="76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440,038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466,556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346,430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373,380</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Partners' capital attributable to AB Unitholders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redeemable non-controlling interest and partners'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440,038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466,556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346,430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373,380</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six-month period ended June 30, 2026, we deconsolidated two funds in which we had a seed investment of approximately $29.6 million as of December 31, 2025, due to no longer having a controlling financial interest.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the redeemable non-controlling interest balance during the six-month period ended June 30, 2026 are as follows (in thousands): </w:t>
      </w:r>
    </w:p>
    <w:tbl>
      <w:tblPr>
        <w:tblW w:w="6381" w:type="dxa"/>
        <w:jc w:val="left"/>
        <w:tblInd w:w="0" w:type="dxa"/>
        <w:tblLayout w:type="fixed"/>
        <w:tblCellMar>
          <w:top w:w="28" w:type="dxa"/>
          <w:left w:w="28" w:type="dxa"/>
          <w:bottom w:w="28" w:type="dxa"/>
          <w:right w:w="28" w:type="dxa"/>
        </w:tblCellMar>
      </w:tblPr>
      <w:tblGrid>
        <w:gridCol w:w="1874"/>
        <w:gridCol w:w="1647"/>
        <w:gridCol w:w="1654"/>
        <w:gridCol w:w="211"/>
        <w:gridCol w:w="841"/>
        <w:gridCol w:w="154"/>
      </w:tblGrid>
      <w:tr>
        <w:trPr/>
        <w:tc>
          <w:tcPr>
            <w:tcW w:w="187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Deconsolidated funds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third-party seed investments in consolidated funds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Redeemable non-controlling interest as of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230,809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Fair Value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cash on hand, demand deposits, overnight commercial paper and highly liquid investments with original maturities of three months or less. Due to the short-term nature of these instruments, the recorded value has been determined to approximate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Valuation of consolidated company-sponsored investment funds' financial instruments by pricing observability levels as of June 30, 2026 and December 31, 2025 was as follows (in thousands): </w:t>
      </w:r>
    </w:p>
    <w:tbl>
      <w:tblPr>
        <w:tblW w:w="7888" w:type="dxa"/>
        <w:jc w:val="left"/>
        <w:tblInd w:w="0" w:type="dxa"/>
        <w:tblLayout w:type="fixed"/>
        <w:tblCellMar>
          <w:top w:w="28" w:type="dxa"/>
          <w:left w:w="28" w:type="dxa"/>
          <w:bottom w:w="28" w:type="dxa"/>
          <w:right w:w="28" w:type="dxa"/>
        </w:tblCellMar>
      </w:tblPr>
      <w:tblGrid>
        <w:gridCol w:w="1220"/>
        <w:gridCol w:w="1070"/>
        <w:gridCol w:w="1085"/>
        <w:gridCol w:w="211"/>
        <w:gridCol w:w="736"/>
        <w:gridCol w:w="109"/>
        <w:gridCol w:w="109"/>
        <w:gridCol w:w="109"/>
        <w:gridCol w:w="109"/>
        <w:gridCol w:w="211"/>
        <w:gridCol w:w="841"/>
        <w:gridCol w:w="109"/>
        <w:gridCol w:w="109"/>
        <w:gridCol w:w="109"/>
        <w:gridCol w:w="109"/>
        <w:gridCol w:w="109"/>
        <w:gridCol w:w="109"/>
        <w:gridCol w:w="109"/>
        <w:gridCol w:w="109"/>
        <w:gridCol w:w="211"/>
        <w:gridCol w:w="84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June 30, 2026:</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Investments - VIEs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Investments - VOEs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Derivatives - VIEs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measured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41,516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411,955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453,471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 VIEs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21,819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Investments - VIEs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Investments - VOEs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Derivatives - VIEs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317,839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340,611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 VIEs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measured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20,084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See Note 11</w:t>
      </w:r>
      <w:r>
        <w:rPr>
          <w:color w:val="000000"/>
        </w:rPr>
        <w:t xml:space="preserve"> </w:t>
      </w:r>
      <w:r>
        <w:rPr>
          <w:rFonts w:ascii="Times New Roman;serif" w:hAnsi="Times New Roman;serif"/>
          <w:b w:val="false"/>
          <w:color w:val="000000"/>
          <w:sz w:val="20"/>
        </w:rPr>
        <w:t>for a description of the fair value methodologies used for instruments measured at fair value, as well as the general classification of such instruments pursuant to the valuation hierarchy.</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Level 3 financial instruments carried at fair value within the consolidated company-sponsored investment funds during the six months ended June 30, 2026 and 2025, respectively.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VIEs held $0.6 million and zero, respectively, of futures, forwards and swaps within their portfolios. For the three and six months ended June 30, 2026, we recognized $5.2 million and $0.6 million of gains, respectively, on these derivatives. For the three and six months ended June 30, 2025, we recognized $0.2 million and $0.3 million of losses, respectively, on these derivatives. These gains and losses are recognized in investment gains (losses) in the condensed consolidated statements of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VIEs held $0.3 million and zero, respectively, of cash collateral payable to trade counterparties. This obligation to return cash is reported in the liabilities of consolidated company-sponsored investment funds in our condensed consolidated statements of financial condition.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VIEs delivered $0.7 million and $0.5 million, respectively, of cash collateral into brokerage accounts. The VIEs report this cash collateral in the consolidated company-sponsored investment funds cash and cash equivalents in our condensed consolidated statements of financial condition.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VOEs held zero futures, forwards, options or swaps within their portfolios. For the three and six months ended June 30, 2026 and June 30, 2025, we recognized no gains or losses on these derivatives. These gains and losses are recognized in investment gains (losses) in the condensed statements of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VOEs held no cash collateral payable to trade counterparties.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VOEs delivered no cash collateral in brokerage accounts.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Offsetting Assets and Liabilities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Offsetting of derivative assets of consolidated company-sponsored investment funds as of June 30, 2026 and December 31, 2025 was as follows: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03"/>
        <w:gridCol w:w="410"/>
        <w:gridCol w:w="207"/>
        <w:gridCol w:w="258"/>
        <w:gridCol w:w="883"/>
        <w:gridCol w:w="134"/>
        <w:gridCol w:w="109"/>
        <w:gridCol w:w="109"/>
        <w:gridCol w:w="109"/>
        <w:gridCol w:w="391"/>
        <w:gridCol w:w="755"/>
        <w:gridCol w:w="204"/>
        <w:gridCol w:w="109"/>
        <w:gridCol w:w="109"/>
        <w:gridCol w:w="109"/>
        <w:gridCol w:w="307"/>
        <w:gridCol w:w="1052"/>
        <w:gridCol w:w="159"/>
        <w:gridCol w:w="109"/>
        <w:gridCol w:w="109"/>
        <w:gridCol w:w="109"/>
        <w:gridCol w:w="346"/>
        <w:gridCol w:w="668"/>
        <w:gridCol w:w="180"/>
        <w:gridCol w:w="109"/>
        <w:gridCol w:w="109"/>
        <w:gridCol w:w="109"/>
        <w:gridCol w:w="268"/>
        <w:gridCol w:w="612"/>
        <w:gridCol w:w="138"/>
        <w:gridCol w:w="109"/>
        <w:gridCol w:w="109"/>
        <w:gridCol w:w="109"/>
        <w:gridCol w:w="211"/>
        <w:gridCol w:w="721"/>
        <w:gridCol w:w="163"/>
      </w:tblGrid>
      <w:tr>
        <w:trPr/>
        <w:tc>
          <w:tcPr>
            <w:tcW w:w="50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 of Recognized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 Offset in the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Amounts of Assets Presented in the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w:t>
              <w:br/>
              <w:t>Instruments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Cash Collateral</w:t>
              <w:br/>
              <w:t>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br/>
              <w:t>Amount</w:t>
            </w:r>
          </w:p>
        </w:tc>
      </w:tr>
      <w:tr>
        <w:trPr/>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June 30, 2026:</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 VIEs</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 VIEs</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Offsetting of derivative liabilities of consolidated company-sponsored investment funds as of June 30, 2026 and December 31, 2025 was as follows: </w:t>
      </w:r>
    </w:p>
    <w:tbl>
      <w:tblPr>
        <w:tblW w:w="10205" w:type="dxa"/>
        <w:jc w:val="left"/>
        <w:tblInd w:w="0" w:type="dxa"/>
        <w:tblLayout w:type="fixed"/>
        <w:tblCellMar>
          <w:top w:w="28" w:type="dxa"/>
          <w:left w:w="28" w:type="dxa"/>
          <w:bottom w:w="28" w:type="dxa"/>
          <w:right w:w="28" w:type="dxa"/>
        </w:tblCellMar>
      </w:tblPr>
      <w:tblGrid>
        <w:gridCol w:w="502"/>
        <w:gridCol w:w="409"/>
        <w:gridCol w:w="205"/>
        <w:gridCol w:w="262"/>
        <w:gridCol w:w="898"/>
        <w:gridCol w:w="136"/>
        <w:gridCol w:w="109"/>
        <w:gridCol w:w="109"/>
        <w:gridCol w:w="109"/>
        <w:gridCol w:w="384"/>
        <w:gridCol w:w="743"/>
        <w:gridCol w:w="200"/>
        <w:gridCol w:w="109"/>
        <w:gridCol w:w="109"/>
        <w:gridCol w:w="109"/>
        <w:gridCol w:w="309"/>
        <w:gridCol w:w="1056"/>
        <w:gridCol w:w="159"/>
        <w:gridCol w:w="109"/>
        <w:gridCol w:w="109"/>
        <w:gridCol w:w="109"/>
        <w:gridCol w:w="345"/>
        <w:gridCol w:w="666"/>
        <w:gridCol w:w="180"/>
        <w:gridCol w:w="109"/>
        <w:gridCol w:w="109"/>
        <w:gridCol w:w="109"/>
        <w:gridCol w:w="267"/>
        <w:gridCol w:w="610"/>
        <w:gridCol w:w="138"/>
        <w:gridCol w:w="109"/>
        <w:gridCol w:w="109"/>
        <w:gridCol w:w="109"/>
        <w:gridCol w:w="212"/>
        <w:gridCol w:w="725"/>
        <w:gridCol w:w="164"/>
      </w:tblGrid>
      <w:tr>
        <w:trPr/>
        <w:tc>
          <w:tcPr>
            <w:tcW w:w="50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 of Recognized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 Offset in the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Amounts of Liabilities Presented in the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w:t>
              <w:br/>
              <w:t>Instruments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Cash Collateral</w:t>
              <w:br/>
              <w:t>Pledged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Amount</w:t>
            </w:r>
          </w:p>
        </w:tc>
      </w:tr>
      <w:tr>
        <w:trPr/>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June 30, 2026:</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 VIEs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 VIEs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Cash collateral, whether pledged or received on derivative instruments, is not considered material and, accordingly, is not disclosed by counterparty.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Non-Consolidated VIEs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net assets of company-sponsored investment products that are non-consolidated VIEs are approximately $79.0 billion; our maximum risk of loss is our investment of $51.2 million and our advisory fee receivables from these VIEs is $117.7 million. As of December 31, 2025, the net assets of company-sponsored investment products that were non-consolidated VIEs were approximately $51.3 billion; our maximum risk of loss was our investment of $40.4 million and our advisory fees receivable from these VIEs were $105.1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15.     Units Outstanding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AB Units outstanding during the six-month period ended June 30, 2026 were as follows: </w:t>
      </w:r>
    </w:p>
    <w:p>
      <w:pPr>
        <w:pStyle w:val="TextBody"/>
        <w:bidi w:val="0"/>
        <w:spacing w:lineRule="auto" w:line="288" w:before="0" w:after="0"/>
        <w:jc w:val="both"/>
        <w:rPr>
          <w:color w:val="000000"/>
        </w:rPr>
      </w:pPr>
      <w:r>
        <w:rPr>
          <w:color w:val="000000"/>
        </w:rPr>
        <w:t> </w:t>
      </w:r>
    </w:p>
    <w:tbl>
      <w:tblPr>
        <w:tblW w:w="4520" w:type="dxa"/>
        <w:jc w:val="left"/>
        <w:tblInd w:w="0" w:type="dxa"/>
        <w:tblLayout w:type="fixed"/>
        <w:tblCellMar>
          <w:top w:w="28" w:type="dxa"/>
          <w:left w:w="28" w:type="dxa"/>
          <w:bottom w:w="28" w:type="dxa"/>
          <w:right w:w="28" w:type="dxa"/>
        </w:tblCellMar>
      </w:tblPr>
      <w:tblGrid>
        <w:gridCol w:w="1147"/>
        <w:gridCol w:w="1006"/>
        <w:gridCol w:w="1012"/>
        <w:gridCol w:w="600"/>
        <w:gridCol w:w="601"/>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293,508,421 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issued</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Units retired </w:t>
            </w:r>
            <w:r>
              <w:rPr>
                <w:rFonts w:ascii="Times New Roman;serif" w:hAnsi="Times New Roman;serif"/>
                <w:b w:val="false"/>
                <w:color w:val="000000"/>
                <w:sz w:val="13"/>
              </w:rPr>
              <w:t>(1)</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(585,402)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as of June 30, 2026</w:t>
            </w:r>
          </w:p>
        </w:tc>
        <w:tc>
          <w:tcPr>
            <w:tcW w:w="12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294,295,573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During the six months ended June 30, 2026, we purchased 3,700 AB Units in private transactions and retired them.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16.     Debt </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Credit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AB has an $800.0 million committed, unsecured senior revolving credit facility (the "Credit Facility") with a group of commercial banks and other lenders. The Credit Facility has a maturity date of August 5, 2030. The Credit Facility provides for possible increases in the principal amount by up to an aggregate incremental amount of $200.0 million; any such increase is subject to the consent of the affected lenders. The Credit Facility is available for AB business purposes, including the support of AB’s commercial paper program. Management may draw on the Credit Facility from time to time.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Credit Facility contains affirmative, negative and financial covenants, which are customary for facilities of this type, including restrictions on dispositions of assets, restrictions on liens, a minimum interest coverage ratio and a maximum leverage ratio. As of June 30, 2026, we were in compliance with these covenants. The Credit Facility also includes customary events of default (with customary grace periods, as applicable), including provisions under which, upon the occurrence of an event of default, all outstanding loans may be accelerated and/or lender’s commitments may be terminated. Also, under such provisions, upon the occurrence of certain insolvency-related or bankruptcy-related events of default, all amounts payable under the Credit Facility would automatically become immediately due and payable, and the lender’s commitments automatically would terminate.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under the Credit Facility may be borrowed, repaid and re-borrowed by us from time to time until the maturity of the facility. Voluntary prepayments and commitment reductions requested by us are permitted at any time without a fee (other than customary breakage costs relating to the prepayment of any drawn loans) upon proper notice and subject to a minimum dollar requirement. Borrowings under the Credit Facility bear interest at a rate per annum, which will be, at our option, a rate equal to an applicable margin, which is subject to adjustment based on the credit ratings of AB, plus one of the following indices: a term Secured Overnight Financial Rate; a Prime rate; or the Federal Funds rate.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had no amounts outstanding under the Credit Facility. Furthermore, during the first six months of 2026 and the full year 2025, we did not draw upon the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EQH Facility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also has a $900.0 million committed, unsecured senior credit facility (“EQH Facility”) with EQH. The EQH Facility matures on August 31, 2029 and is available for AB's general business purposes. Borrowings under the EQH Facility generally bear interest at a rate per annum based on prevailing overnight commercial paper rates.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EQH Facility contains affirmative, negative and financial covenants which are substantially similar to those in AB’s committed bank facilities. As of June 30, 2026, we were in compliance with these covenants. The EQH Facility also includes customary events of default substantially similar to those in AB’s committed bank facilities, including provisions under which, upon the occurrence of an event of default, all outstanding loans may be accelerated and/or the lender’s commitment may be terminated.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under the EQH Facility may be borrowed, repaid and re-borrowed by us from time to time until the maturity of the facility. AB or EQH may reduce or terminate the commitment at any time without penalty upon proper notice. EQH also may terminate the facility immediately upon a change of control of our general partner.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AB had $580.0 million and $810.0 million outstanding under the EQH Facility, with an interest rate of approximately 3.7% for both periods. Average daily borrowings on the EQH Facility for the first six months of 2026 and the full year 2025 were $509.2 million and $392.2 million, respectively, with weighted average interest rates of approximately 3.6% and 4.2%,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EQH Uncommitted Facility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EQH Facility, AB has a $300.0 million uncommitted, unsecured senior credit facility (“EQH Uncommitted Facility”) with EQH. The EQH Uncommitted Facility matures on August 31, 2029 and is available for AB's general business purposes. Borrowings under the EQH Uncommitted Facility generally bear interest at a rate per annum based on prevailing overnight commercial paper rates. The EQH Uncommitted Facility contains affirmative, negative and financial covenants which are substantially similar to those in the EQH Facility. As of June 30, 2026, we were in compliance with these covenants. As of June 30, 2026 and December 31, 2025 we had no amounts outstanding on the EQH Uncommitted Facility. During the first six months of 2026 and full year 2025, we did not draw upon the EQH Uncommitted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Commercial Paper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both June 30, 2026 and December 31, 2025 we had no commercial paper outstanding. The commercial paper is short term in nature, and as such, recorded value is estimated to approximate fair value (and considered a Level 2 security in the fair value hierarchy). Average daily borrowings of commercial paper during the first six months of 2026 and full year 2025 were $187.5 million and $199.5 million, respectively, with weighted average interest rates of approximately 3.8% and 4.4%,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SCB Lines of Credit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SCB LLC had three uncommitted lines of credit with three financial institutions, two of these lines of credit allowed SCB LLC to borrow up to an aggregate of $150.0 million. One of these lines of credit was terminated March 20,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SCB LLC has two uncommitted lines of credit with two financial institutions. One of these lines of credit permits SCB LLC to borrow up to an aggregate of approximately $100.0 million, with AB named as an additional borrower, while the other line has no stated limit. AB has agreed to guarantee the obligations of SCB LLC under these lines of credit. As of June 30, 2026 and December 31, 2025, SCB LLC had no outstanding balance on these lines of credit. Average daily borrowings on these lines of credit during the first six months of 2026 and full year 2025 were $0.8 million and $0.5 million, respectively, with weighted average interest rates of approximately 6.8% and 7.3%, respectively.</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17. Business Segment Information </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has assessed the requirements of ASC 280, Segment Reporting, and determined that, because we utilize a consolidated approach to assess performance and allocate resources, we have only one operating segment. We provide diversified investment management, research and related services globally to a broad range of clients through our three distribution channels: Institutions, Retail and Private Wealth Management.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Chief Operating Decision Maker (</w:t>
      </w:r>
      <w:r>
        <w:rPr>
          <w:rFonts w:ascii="Times New Roman;serif" w:hAnsi="Times New Roman;serif"/>
          <w:b/>
          <w:color w:val="000000"/>
          <w:sz w:val="20"/>
        </w:rPr>
        <w:t>"</w:t>
      </w:r>
      <w:r>
        <w:rPr>
          <w:rFonts w:ascii="Times New Roman;serif" w:hAnsi="Times New Roman;serif"/>
          <w:b w:val="false"/>
          <w:color w:val="000000"/>
          <w:sz w:val="20"/>
        </w:rPr>
        <w:t>CODM</w:t>
      </w:r>
      <w:r>
        <w:rPr>
          <w:rFonts w:ascii="Times New Roman;serif" w:hAnsi="Times New Roman;serif"/>
          <w:b/>
          <w:color w:val="000000"/>
          <w:sz w:val="20"/>
        </w:rPr>
        <w:t>"</w:t>
      </w:r>
      <w:r>
        <w:rPr>
          <w:rFonts w:ascii="Times New Roman;serif" w:hAnsi="Times New Roman;serif"/>
          <w:b w:val="false"/>
          <w:color w:val="000000"/>
          <w:sz w:val="20"/>
        </w:rPr>
        <w:t>) is the Chief Executive Officer of AB. The CODM evaluates the reported measure of segment profit or loss in assessing segment performance and deciding how to allocate resources. Significant segment expenses are part of the CODM review and are critically important to understand the level of profitability and overall performance of the company. This assessment will determine the way in which the CODM allocates resources to our respective business operations.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Measurement of Segment Profit or Loss and How the CODM Uses the Reported Measure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CODM regularly receives financial information and management reports that are prepared on a consolidated basis. When assessing profitability, allocating resources and evaluating the underlying performance of our business, the CODM uses condensed consolidated net income as reported on the condensed consolidated statements of income. In applying the requirements under ASC 280, the company has identified significant segment expenses and other segment items related to our one operating segment. The significant expenses considered by the CODM in evaluating the performance of our business are consistent with the financial information included on the company's condensed consolidated statements of income. The measurement of assets as evaluated by the CODM is reported as </w:t>
      </w:r>
      <w:r>
        <w:rPr>
          <w:rFonts w:ascii="Times New Roman;serif" w:hAnsi="Times New Roman;serif"/>
          <w:b w:val="false"/>
          <w:i/>
          <w:color w:val="000000"/>
          <w:sz w:val="20"/>
        </w:rPr>
        <w:t>"Total assets"</w:t>
      </w:r>
      <w:r>
        <w:rPr>
          <w:color w:val="000000"/>
        </w:rPr>
        <w:t xml:space="preserve"> </w:t>
      </w:r>
      <w:r>
        <w:rPr>
          <w:rFonts w:ascii="Times New Roman;serif" w:hAnsi="Times New Roman;serif"/>
          <w:b w:val="false"/>
          <w:color w:val="000000"/>
          <w:sz w:val="20"/>
        </w:rPr>
        <w:t xml:space="preserve">on the condensed consolidated statements of financial condition. As an additional measure of segment profit or loss, the CODM considers certain adjustments to condensed consolidated net income. While management uses these additional adjusted metrics in assessing and allocating resources to the business, management recognizes that US GAAP principles are the basis of our performance.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Enterprise-wide disclosures as of and for the three months ended June 30, 2026 and 2025 were as follows: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revenues derived from our investment management, research and related services for the three and 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1225"/>
        <w:gridCol w:w="1076"/>
        <w:gridCol w:w="1087"/>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56"/>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2"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265" w:type="dxa"/>
            <w:gridSpan w:val="2"/>
            <w:tcBorders/>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Institutions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Retail</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Wealth Management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Broker-dealer related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1,171,004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1,088,907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2,372,730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2,169,514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Institutions, Retail and Private Wealth management revenues by channel include investment advisory base fees, performance-based fees, distribution revenues and shareholder servicing fees by channel.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AllianceBernstein U.S. Growth Stock, an open-end fund incorporated in Japan, generated approximately 11% of our net revenues for the three and six months ended June 30, 2026, respectively. U.S. Growth Stock generated approximately 12% of our net revenues for the three and six months ended June 30, 2025, respectively.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Geographic Information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revenues related to our U.S. and international operations, for the three and six months ended June 30, 2026 and 2025, were as follows:</w:t>
      </w:r>
    </w:p>
    <w:tbl>
      <w:tblPr>
        <w:tblW w:w="8873" w:type="dxa"/>
        <w:jc w:val="left"/>
        <w:tblInd w:w="0" w:type="dxa"/>
        <w:tblLayout w:type="fixed"/>
        <w:tblCellMar>
          <w:top w:w="28" w:type="dxa"/>
          <w:left w:w="28" w:type="dxa"/>
          <w:bottom w:w="28" w:type="dxa"/>
          <w:right w:w="28" w:type="dxa"/>
        </w:tblCellMar>
      </w:tblPr>
      <w:tblGrid>
        <w:gridCol w:w="738"/>
        <w:gridCol w:w="652"/>
        <w:gridCol w:w="55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Luxembourg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Japan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1,171,004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1,088,907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2,372,730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2,169,514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Long-lived assets related to our U.S. and international operations, as of June 30, 2026 and December 31, 2025, were as follows:</w:t>
      </w:r>
    </w:p>
    <w:tbl>
      <w:tblPr>
        <w:tblW w:w="5557" w:type="dxa"/>
        <w:jc w:val="left"/>
        <w:tblInd w:w="0" w:type="dxa"/>
        <w:tblLayout w:type="fixed"/>
        <w:tblCellMar>
          <w:top w:w="28" w:type="dxa"/>
          <w:left w:w="28" w:type="dxa"/>
          <w:bottom w:w="28" w:type="dxa"/>
          <w:right w:w="28" w:type="dxa"/>
        </w:tblCellMar>
      </w:tblPr>
      <w:tblGrid>
        <w:gridCol w:w="581"/>
        <w:gridCol w:w="511"/>
        <w:gridCol w:w="513"/>
        <w:gridCol w:w="109"/>
        <w:gridCol w:w="109"/>
        <w:gridCol w:w="109"/>
        <w:gridCol w:w="211"/>
        <w:gridCol w:w="991"/>
        <w:gridCol w:w="109"/>
        <w:gridCol w:w="109"/>
        <w:gridCol w:w="109"/>
        <w:gridCol w:w="109"/>
        <w:gridCol w:w="277"/>
        <w:gridCol w:w="1304"/>
        <w:gridCol w:w="143"/>
        <w:gridCol w:w="109"/>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4,126,410 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4,131,476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4,178,336</w:t>
            </w:r>
            <w:r>
              <w:rPr>
                <w:color w:val="000000"/>
              </w:rPr>
              <w:t>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Major Customers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single customer or individual client accounted for more than 10% of our total revenues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ind w:left="0" w:right="0" w:hanging="360"/>
        <w:jc w:val="left"/>
        <w:rPr/>
      </w:pPr>
      <w:r>
        <w:rPr>
          <w:rFonts w:ascii="Times New Roman;serif" w:hAnsi="Times New Roman;serif"/>
          <w:b/>
          <w:color w:val="000000"/>
          <w:sz w:val="20"/>
        </w:rPr>
        <w:t>18</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Divestitures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 2024 (the "Initial Close") AB and Societe Generale ("SocGen") formed a global joint venture with two joint venture holding companies, one outside of North America ( the "ROW JV") and one within North America ("NA JV", and together the "JVs"). As of December 31, 2025, AB owned a 66.7% majority interest in the NA JV while SocGen owned a 51% majority interest in the ROW JV.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of the greater value of the business AB contributed to the JVs at the Initial Close, SocGen paid AB $304.0 million in cash to equalize the value of the contributions by AB and SocGen to the JVs. The cash payment of $304.0 million included $102.6 million of prepaid consideration for an option, exercisable by AB during the following five years from the Initial Close, that would result in SocGen having a 51% ownership of the NA JV (the "AB option").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 2026 AB entered into an Amended and Restated Shareholder agreement with SocGen, (the "Amendment Agreement") and exercised the AB option to deliver a 17.7% interest in the NA JV to SocGen resulting in AB owning a 49% interest in the NA JV and SocGen having a majority interest of 51% in the NA JV. The prepaid consideration received was in excess of the carrying value of the 17.7% equity in the NA JV resulting in a gain of $48.4 million recognized in the first quarter of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the Amendment Agreement, on January 1, 2026, AB entered into a Contribution Agreement (the "Contribution Agreement") with SocGen. Prior to the Contribution Agreement, SocGen and AB had a 51% and 49% interest in both JVs, respectively. Under the Contribution Agreement, AB contributed its 49% interest in NA JV, and SocGen contributed its 51% interest in NA JV, for an equal interest in newly issued shares of ROW JV resulting in a single JV comprised of the operations and interest of both JVs (the "AB/SG JV"). AB maintains its additional option to sell its ownership interests in the AB/SG JV to SocGen after five years from the Initial Close, at the fair market value of AB’s interests in the AB/SG JV, subject to regulatory approval.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2.     </w:t>
      </w:r>
      <w:r>
        <w:rPr>
          <w:rFonts w:ascii="Times New Roman;serif" w:hAnsi="Times New Roman;serif"/>
          <w:b/>
          <w:color w:val="000000"/>
          <w:sz w:val="20"/>
          <w:u w:val="single"/>
        </w:rPr>
        <w:t>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u w:val="single"/>
        </w:rPr>
      </w:pPr>
      <w:r>
        <w:rPr>
          <w:rFonts w:ascii="Times New Roman;serif" w:hAnsi="Times New Roman;serif"/>
          <w:b/>
          <w:i/>
          <w:color w:val="000000"/>
          <w:sz w:val="20"/>
          <w:u w:val="single"/>
        </w:rPr>
        <w:t>Executive Overview</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total assets under management (“AUM”) as of June 30, 2026 were $905.5 billion, up $66.9 billion, or 8.0%, compared to March 31, 2026, and up $76.4 billion, or 9.2%, compared to June 30, 2025. During the second quarter of 2026 AUM increased due to market appreciation of $66.1 billion and net inflows of $0.8 billion (Retail net inflows of $0.9 billion and Institutional net inflows of $0.6 billion, offset by Private Wealth net outflows of $0.7 billion).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Institutional AUM increased $23.4 billion, or 6.7%, to $371.1 billion during the second quarter of 2026, primarily due to market appreciation of $22.1 billion and net inflows of $0.6 billion. Gross sales increased sequentially from $5.6 billion during the first quarter of 2026 to $8.3 billion during the second quarter of 2026. Redemptions and terminations increased sequentially from $3.2 billion to $4.3 billion.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Retail AUM increased $31.8 billion, or 9.5%, to $367.3 billion during the second quarter of 2026, primarily due to market appreciation of $31.6 billion and net inflows of $0.9 billion. Gross sales increased sequentially from $23.1 billion during the first quarter of 2026 to $31.0 billion during the second quarter of 2026. Redemptions and terminations increased sequentially from $26.3 billion to $27.0 billion.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Private Wealth AUM increased $11.7 billion, or 7.5%, to $167.1 billion during the second quarter of 2026, due to market appreciation of $12.4 billion, offset by net outflows of $0.7 billion. Gross sales decreased sequentially from $6.9 billion during the first quarter of 2026 to $5.5 billion during the second quarter of 2026. Redemptions and terminations decreased sequentially from $6.3 billion to $6.2 billion.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revenues for the second quarter of 2026 increased $82.1 million, or 7.5%, to $1.2 billion from $1.1 billion in the second quarter of 2025. The increase was primarily due to higher investment advisory base fees of $55.0 million, higher investment gains compared to losses in the corresponding 2025 period of $21.3 million and higher performance-based fees of $8.0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expenses for the second quarter of 2026 increased $15.0 million, or 1.7%, to $881.9 million from $866.8 million in the second quarter of 2025. The increase is primarily due to higher employee compensation and benefits expense of $31.6 million, partially offset by lower general and administrative expense of $12.9 million and lower promotion and servicing expense of $2.2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income increased $67.1 million, or 30.2%, to $289.2 million from $222.1 million in the second quarter of 2025 and our operating margin increased to 23.2% in the second quarter of 2026 from 20.7% in the second quarter of 2025.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Market Environment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U.S. Equities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U.S. equity markets staged a strong reversal in the second quarter of 2026, with the S&amp;P 500 Index returning approximately 15%, its best quarterly performance since the 2020 post-pandemic rebound, while the Russell 2000 surged more than 21% for its strongest quarter in decades. The rally was fueled by de-escalation in the Middle East, as a U.S.-Iran ceasefire and the reopening of the Strait of Hormuz drove oil prices down sharply from their April peak near $120 per barrel to below $75 by quarter-end, easing the inflation and growth concerns that had weighed on markets in the first quarter. Growth decisively reversed course and outperformed value, with technology and AI-related themes driving the advance; the Philadelphia Semiconductor Index posted its best quarterly gain since its 1994 inception as memory and semiconductor names surged on accelerating AI infrastructure demand. Nine of eleven S&amp;P 500 sectors finished higher, with industrials, financials, and healthcare showing late-quarter leadership even as technology and communication services saw some profit-taking in June. Energy was the notable laggard, giving back much of its first-quarter gains as oil prices retreated. On the policy front, the Federal Reserve held rates steady at 3.50%–3.75% for a fourth consecutive meeting, with new Fed Chair Kevin Warsh presiding over his first policy meeting in June; the Fed's updated projections showed a majority of officials now anticipating a rate hike later in 2026 to combat inflation running near 4.2%, a sharp reversal from the prior rate-cutting expectations earlier in the year. Corporate earnings remained a key support, with second-quarter S&amp;P 500 earnings growth estimates rising over the course of the quarter to more than 23%, well above typical seasonal patterns.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Global and Non-U.S. Equities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International equities also rallied sharply, with developed markets returning roughly 14% and the MSCI EAFE Index gaining approximately 11% in the second quarter of 2026, as easing geopolitical tensions and falling energy prices lifted sentiment globally. Japanese equities were a standout, with the TOPIX advancing 14% as a weaker yen benefited exporters and financials, even as the Bank of Japan delivered a widely expected rate hike to 1.0% in June amid strong wage growth. Eurozone equities advanced despite a challenging backdrop, as the European Central Bank raised interest rates by 25 basis points to 2.25%, its first hike since 2023, citing inflation pressures from the energy shock, even as first-quarter eurozone GDP contracted. U.K. equities extended their winning streak, with the FTSE 100 rising 3% for a sixth consecutive quarterly gain, while the Bank of England held its policy rate at 3.75%. Emerging market equities were the standout performer globally, with the MSCI Emerging Markets Index surging approximately 24%, its best quarterly gain since 2009. Korea led by a wide margin, posting its best quarterly performance since 1998 as SK Hynix and Samsung Electronics roughly tripled and doubled in value, respectively, both crossing $1 trillion in market capitalization on explosive memory-chip demand tied to the AI build out. Taiwan also benefited from strong semiconductor exports. In contrast, China underperformed, with the MSCI China Index declining amid persistent weakness in retail sales and the auto sector, while broader domestic demand concerns continued to weigh on sentiment.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Global Bonds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Global bond markets were mixed but generally positive in the second quarter of 2026, as investors weighed the inflationary impact of the energy shock against signs that the worst of the geopolitical disruption was passing. The Bloomberg Global Aggregate Bond Index returned approximately 0.9% (total return, unhedged), a modest gain that masked notable divergence by region and credit quality. In the U.S., the 10-year Treasury yield rose 15 basis points to 4.5%, after approaching an intra-quarter high of 4.7%, as the Federal Reserve held rates steady but signaled a possible hike later in the year under new Chair Kevin Warsh. European government bonds were pressured by the ECB's rate hike, its first in nearly three years, while Japanese government bond (“JGB”) yields continued to climb, with the 10-year JGB yield reaching 2.7% following the Bank of Japan's rate increase; JGBs underperformed the broader global index, declining roughly 1.3%. Credit markets fared better, supported by resilient corporate earnings and tightening spreads: euro high-yield bonds returned 3.7%, U.S. high yield gained 2.5%, and global investment-grade credit advanced 1.5%. Emerging market debt was a bright spot, returning approximately 4.0% as an improving inflation outlook and expectations for less restrictive developed-market central bank policy supported the asset class. Overall, fixed income investors benefited more from carry and credit selection than from duration, as rate volatility remained elevated throughout the quarter.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Relationship with EQH and its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Permanent Capital Deployment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EQH (our parent company) and its subsidiaries are our largest client. EQH is collaborating with AB in order to improve the risk-adjusted yield for the General Accounts of EQH's insurance subsidiaries by investing additional assets at AB, including the utilization of AB's higher-fee, longer-duration alternative offerings. In mid-2021, Equitable Financial Life Insurance Company, a subsidiary of EQH ("Equitable Financial"), agreed to provide an initial $10 billion in permanent capital to build out AB's private illiquid offerings, including private alternatives and private placements. Deployment of the initial $10 billion in permanent capital is now complete. During the second quarter of 2023, EQH committed to provide an additional $10 billion in permanent capital, deployment of which is now also complete. We expect this capital from EQH's insurance subsidiaries will continue to accelerate both organic and inorganic growth in our private alternatives business, allowing us to continue to deliver for our clients, employees, unitholders and other stakeholders.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Permanent capital means investment capital of indefinite duration, for which commitments may be withdrawn under certain conditions. Such conditions primarily include potential regulatory restrictions, lacking sufficient liquidity to fund the capital commitments to AB and AB's inability to identify attractive investment opportunities which align with the investment strategy. Although EQH’s insurance subsidiaries have indicated their intention over time to provide this investment capital to AB, they have no binding commitment to do so. While the withdrawal of their commitment could potentially slow down our introduction of certain products, the impact to our overall operations would not be material.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Equitable and Corebridge Merger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26, 2026, Equitable Holdings, Inc. and Corebridge Financial, Inc. entered into a Merger Agreement to combine their businesses. Through a series of transactions, both Equitable and Corebridge will continue to operate as direct, wholly-owned subsidiaries of a newly formed parent holding company ("HoldCo"). Upon closing, HoldCo will become the ultimate parent entity, to be renamed "Equitable Holdings, Inc.," and its common stock will trade on the NYSE. Upon completion of the transaction, Corebridge stockholders are expected to own approximately 51% of HoldCo, with Equitable stockholders owning approximately 49%, and the 14-member board of directors of HoldCo will include seven directors designated by Corebridge and seven directors designated by Equitable Holdings. No changes to AB’s Executive leadership, senior management, operating model, or ownership structure are anticipated as a result of this transaction.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completion of the merger remains subject to customary closing conditions, including the receipt of required regulatory approvals and approval of shareholders of both Corebridge and EQH.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as part of this strategic merger, AB is expected to benefit from a substantial increase in assets under management over time, with an estimated $100 billion in assets anticipated to be transferred to AB. Notably, AB will have the opportunity to manage a larger pool of general account insurance assets and to collaborate closely on Retirement solutions, particularly leveraging AB’s industry-leading Lifetime Income platform.</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Joint Venture with Societe Generale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 2024 (the "Initial Close") AB and Societe Generale ("SocGen") formed a global joint venture with two joint venture holding companies, one outside of North America ( the "ROW JV") and one within North America ("NA JV", and together the "JVs"). As of December 31, 2025, AB owned a 66.7% majority interest in the NA JV while SocGen owned a 51% majority interest in the ROW JV.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of the greater value of the business AB contributed to the JVs at the Initial Close, SocGen paid AB $304.0 million in cash to equalize the value of the contributions by AB and SocGen to the JVs. The cash payment of $304.0 million included $102.6 million of prepaid consideration for an option, exercisable by AB during the following five years from the Initial Close, that would result in SocGen having a 51% ownership of the NA JV (the "AB option").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 2026 AB entered into an Amended and Restated Shareholder agreement with SocGen, (the "Amendment Agreement") and exercised the AB option to deliver a 17.7% interest in the NA JV to SocGen resulting in AB owning a 49% interest in the NA JV and SocGen having a majority interest of 51% in the NA JV. The prepaid consideration received was in excess of the carrying value of the 17.7% equity in the NA JV resulting in a gain of $48.4 million recognized in the first quarter of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the Amendment Agreement, on January 1, 2026, AB entered into a Contribution Agreement (the "Contribution Agreement") with SocGen. Prior to the Contribution Agreement, SocGen and AB had a 51% and 49% interest in both JVs, respectively. Under the Contribution Agreement, AB contributed its 49% interest in NA JV, and SocGen contributed its 51%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 NA JV, for an equal interest in newly issued shares of ROW JV resulting in a single JV comprised of the operations and interest of both JVs (the "AB/SG JV"). AB maintains its additional option to sell its ownership interests in the AB/SG JV to SocGen after five years from the Initial Close, at the fair market value of AB’s interests in the AB/SG JV, subject to regulatory approval.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Assets Under Management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Assets under management by distribution channel are as follows:</w:t>
      </w:r>
    </w:p>
    <w:tbl>
      <w:tblPr>
        <w:tblW w:w="6250" w:type="dxa"/>
        <w:jc w:val="left"/>
        <w:tblInd w:w="0" w:type="dxa"/>
        <w:tblLayout w:type="fixed"/>
        <w:tblCellMar>
          <w:top w:w="28" w:type="dxa"/>
          <w:left w:w="28" w:type="dxa"/>
          <w:bottom w:w="28" w:type="dxa"/>
          <w:right w:w="28" w:type="dxa"/>
        </w:tblCellMar>
      </w:tblPr>
      <w:tblGrid>
        <w:gridCol w:w="478"/>
        <w:gridCol w:w="419"/>
        <w:gridCol w:w="422"/>
        <w:gridCol w:w="211"/>
        <w:gridCol w:w="631"/>
        <w:gridCol w:w="109"/>
        <w:gridCol w:w="109"/>
        <w:gridCol w:w="109"/>
        <w:gridCol w:w="109"/>
        <w:gridCol w:w="211"/>
        <w:gridCol w:w="631"/>
        <w:gridCol w:w="109"/>
        <w:gridCol w:w="109"/>
        <w:gridCol w:w="109"/>
        <w:gridCol w:w="109"/>
        <w:gridCol w:w="224"/>
        <w:gridCol w:w="560"/>
        <w:gridCol w:w="117"/>
        <w:gridCol w:w="109"/>
        <w:gridCol w:w="109"/>
        <w:gridCol w:w="109"/>
        <w:gridCol w:w="255"/>
        <w:gridCol w:w="256"/>
        <w:gridCol w:w="636"/>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Wealth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905.5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829.1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76.4</w:t>
            </w:r>
            <w:r>
              <w:rPr>
                <w:color w:val="000000"/>
              </w:rPr>
              <w:t>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w:t>
            </w:r>
            <w:r>
              <w:rPr>
                <w:color w:val="000000"/>
              </w:rPr>
              <w:t>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Assets under management by investment service are as follows:</w:t>
      </w:r>
    </w:p>
    <w:tbl>
      <w:tblPr>
        <w:tblW w:w="8456" w:type="dxa"/>
        <w:jc w:val="left"/>
        <w:tblInd w:w="0" w:type="dxa"/>
        <w:tblLayout w:type="fixed"/>
        <w:tblCellMar>
          <w:top w:w="28" w:type="dxa"/>
          <w:left w:w="28" w:type="dxa"/>
          <w:bottom w:w="28" w:type="dxa"/>
          <w:right w:w="28" w:type="dxa"/>
        </w:tblCellMar>
      </w:tblPr>
      <w:tblGrid>
        <w:gridCol w:w="1267"/>
        <w:gridCol w:w="1117"/>
        <w:gridCol w:w="1126"/>
        <w:gridCol w:w="211"/>
        <w:gridCol w:w="631"/>
        <w:gridCol w:w="109"/>
        <w:gridCol w:w="109"/>
        <w:gridCol w:w="109"/>
        <w:gridCol w:w="109"/>
        <w:gridCol w:w="211"/>
        <w:gridCol w:w="631"/>
        <w:gridCol w:w="109"/>
        <w:gridCol w:w="109"/>
        <w:gridCol w:w="109"/>
        <w:gridCol w:w="109"/>
        <w:gridCol w:w="224"/>
        <w:gridCol w:w="560"/>
        <w:gridCol w:w="117"/>
        <w:gridCol w:w="109"/>
        <w:gridCol w:w="109"/>
        <w:gridCol w:w="109"/>
        <w:gridCol w:w="262"/>
        <w:gridCol w:w="264"/>
        <w:gridCol w:w="636"/>
      </w:tblGrid>
      <w:tr>
        <w:trPr/>
        <w:tc>
          <w:tcPr>
            <w:tcW w:w="126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Actively Managed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Passively Managed</w:t>
            </w:r>
            <w:r>
              <w:rPr>
                <w:rFonts w:ascii="Times New Roman;serif" w:hAnsi="Times New Roman;serif"/>
                <w:b w:val="false"/>
                <w:color w:val="000000"/>
                <w:sz w:val="13"/>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w:t>
            </w:r>
            <w:r>
              <w:rPr>
                <w:color w:val="000000"/>
              </w:rPr>
              <w:t>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Fixed Income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Actively Managed</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Tax–exempt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Passively Managed</w:t>
            </w:r>
            <w:r>
              <w:rPr>
                <w:rFonts w:ascii="Times New Roman;serif" w:hAnsi="Times New Roman;serif"/>
                <w:b w:val="false"/>
                <w:color w:val="000000"/>
                <w:sz w:val="13"/>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Fixed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w:t>
            </w:r>
            <w:r>
              <w:rPr>
                <w:color w:val="000000"/>
              </w:rPr>
              <w:t>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Alternatives/Multi-Asset Solutions</w:t>
            </w:r>
            <w:r>
              <w:rPr>
                <w:rFonts w:ascii="Times New Roman;serif" w:hAnsi="Times New Roman;serif"/>
                <w:b/>
                <w:color w:val="000000"/>
                <w:sz w:val="13"/>
              </w:rPr>
              <w:t>(2)</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Actively Managed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Passively Managed</w:t>
            </w:r>
            <w:r>
              <w:rPr>
                <w:rFonts w:ascii="Times New Roman;serif" w:hAnsi="Times New Roman;serif"/>
                <w:b w:val="false"/>
                <w:color w:val="000000"/>
                <w:sz w:val="13"/>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Alternatives/Multi-Asset Solutions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w:t>
            </w:r>
            <w:r>
              <w:rPr>
                <w:color w:val="000000"/>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905.5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76.4</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w:t>
            </w:r>
            <w:r>
              <w:rPr>
                <w:color w:val="000000"/>
              </w:rPr>
              <w:t>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rFonts w:ascii="Times New Roman;serif" w:hAnsi="Times New Roman;serif"/>
          <w:b w:val="false"/>
          <w:color w:val="000000"/>
          <w:sz w:val="18"/>
        </w:rPr>
        <w:t>Includes index and enhanced index services.</w:t>
      </w:r>
    </w:p>
    <w:p>
      <w:pPr>
        <w:pStyle w:val="TextBody"/>
        <w:bidi w:val="0"/>
        <w:spacing w:lineRule="auto" w:line="288" w:before="0" w:after="0"/>
        <w:ind w:left="0" w:right="0" w:hanging="720"/>
        <w:jc w:val="both"/>
        <w:rPr/>
      </w:pPr>
      <w:r>
        <w:rPr>
          <w:rFonts w:ascii="Times New Roman;serif" w:hAnsi="Times New Roman;serif"/>
          <w:b w:val="false"/>
          <w:color w:val="000000"/>
          <w:sz w:val="13"/>
        </w:rPr>
        <w:t>(2)</w:t>
      </w:r>
      <w:r>
        <w:rPr>
          <w:rFonts w:ascii="Times New Roman;serif" w:hAnsi="Times New Roman;serif"/>
          <w:b w:val="false"/>
          <w:color w:val="000000"/>
          <w:sz w:val="18"/>
        </w:rPr>
        <w:t>Includes certain multi-asset solutions and services not included in equity or fixed income services.</w:t>
      </w:r>
    </w:p>
    <w:p>
      <w:pPr>
        <w:pStyle w:val="TextBody"/>
        <w:bidi w:val="0"/>
        <w:spacing w:before="0" w:after="0"/>
        <w:ind w:left="0" w:right="0" w:firstLine="36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assets under management for the three-month, six-month and twelve-month periods ended June 30, 2026 are as follows:</w:t>
      </w:r>
    </w:p>
    <w:p>
      <w:pPr>
        <w:pStyle w:val="TextBody"/>
        <w:bidi w:val="0"/>
        <w:spacing w:before="0" w:after="0"/>
        <w:jc w:val="left"/>
        <w:rPr/>
      </w:pPr>
      <w:r>
        <w:rPr/>
      </w:r>
    </w:p>
    <w:tbl>
      <w:tblPr>
        <w:tblW w:w="7825" w:type="dxa"/>
        <w:jc w:val="left"/>
        <w:tblInd w:w="0" w:type="dxa"/>
        <w:tblLayout w:type="fixed"/>
        <w:tblCellMar>
          <w:top w:w="28" w:type="dxa"/>
          <w:left w:w="28" w:type="dxa"/>
          <w:bottom w:w="28" w:type="dxa"/>
          <w:right w:w="28" w:type="dxa"/>
        </w:tblCellMar>
      </w:tblPr>
      <w:tblGrid>
        <w:gridCol w:w="1049"/>
        <w:gridCol w:w="920"/>
        <w:gridCol w:w="926"/>
        <w:gridCol w:w="233"/>
        <w:gridCol w:w="697"/>
        <w:gridCol w:w="121"/>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Distribution Channel</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Institutions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Private</w:t>
              <w:br/>
              <w:t>Wealth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billions)</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flows: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Sales/new accounts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Redemptions/terminations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flow/unreinvested dividends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long-term inflows (outflows)</w:t>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appreciation</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371.1</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905.5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flows:</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Sales/new accounts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Redemptions/terminations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flow/unreinvested dividends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long-term (outflows)</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appreciation</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371.1</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905.5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flows: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Sales/new accounts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Redemptions/terminations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flow/unreinvested dividends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long-term (outflows) inflows</w:t>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appreciation</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371.1</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905.5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tbl>
      <w:tblPr>
        <w:tblW w:w="10205" w:type="dxa"/>
        <w:jc w:val="center"/>
        <w:tblInd w:w="0" w:type="dxa"/>
        <w:tblLayout w:type="fixed"/>
        <w:tblCellMar>
          <w:top w:w="28" w:type="dxa"/>
          <w:left w:w="28" w:type="dxa"/>
          <w:bottom w:w="28" w:type="dxa"/>
          <w:right w:w="28" w:type="dxa"/>
        </w:tblCellMar>
      </w:tblPr>
      <w:tblGrid>
        <w:gridCol w:w="769"/>
        <w:gridCol w:w="263"/>
        <w:gridCol w:w="265"/>
        <w:gridCol w:w="211"/>
        <w:gridCol w:w="631"/>
        <w:gridCol w:w="109"/>
        <w:gridCol w:w="109"/>
        <w:gridCol w:w="109"/>
        <w:gridCol w:w="109"/>
        <w:gridCol w:w="235"/>
        <w:gridCol w:w="589"/>
        <w:gridCol w:w="123"/>
        <w:gridCol w:w="109"/>
        <w:gridCol w:w="109"/>
        <w:gridCol w:w="109"/>
        <w:gridCol w:w="211"/>
        <w:gridCol w:w="631"/>
        <w:gridCol w:w="109"/>
        <w:gridCol w:w="109"/>
        <w:gridCol w:w="109"/>
        <w:gridCol w:w="109"/>
        <w:gridCol w:w="224"/>
        <w:gridCol w:w="561"/>
        <w:gridCol w:w="117"/>
        <w:gridCol w:w="109"/>
        <w:gridCol w:w="109"/>
        <w:gridCol w:w="109"/>
        <w:gridCol w:w="235"/>
        <w:gridCol w:w="589"/>
        <w:gridCol w:w="123"/>
        <w:gridCol w:w="109"/>
        <w:gridCol w:w="109"/>
        <w:gridCol w:w="109"/>
        <w:gridCol w:w="275"/>
        <w:gridCol w:w="825"/>
        <w:gridCol w:w="144"/>
        <w:gridCol w:w="109"/>
        <w:gridCol w:w="109"/>
        <w:gridCol w:w="109"/>
        <w:gridCol w:w="211"/>
        <w:gridCol w:w="631"/>
        <w:gridCol w:w="162"/>
      </w:tblGrid>
      <w:tr>
        <w:trPr/>
        <w:tc>
          <w:tcPr>
            <w:tcW w:w="7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 Service</w:t>
            </w:r>
          </w:p>
        </w:tc>
      </w:tr>
      <w:tr>
        <w:trPr/>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Equity</w:t>
              <w:br/>
              <w:t>Actively</w:t>
              <w:br/>
              <w:t>Managed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Equity</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Passively</w:t>
            </w:r>
          </w:p>
          <w:p>
            <w:pPr>
              <w:pStyle w:val="TableContents"/>
              <w:bidi w:val="0"/>
              <w:spacing w:lineRule="auto" w:line="240" w:before="0" w:after="0"/>
              <w:jc w:val="center"/>
              <w:rPr/>
            </w:pPr>
            <w:r>
              <w:rPr>
                <w:rFonts w:ascii="Times New Roman;serif" w:hAnsi="Times New Roman;serif"/>
                <w:b/>
                <w:color w:val="000000"/>
                <w:sz w:val="20"/>
              </w:rPr>
              <w:t>Managed</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Fixed</w:t>
              <w:br/>
              <w:t>Income</w:t>
              <w:br/>
              <w:t>Actively</w:t>
              <w:br/>
              <w:t>Managed -</w:t>
              <w:br/>
              <w:t>Taxable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Fixed</w:t>
              <w:br/>
              <w:t>Income</w:t>
              <w:br/>
              <w:t>Actively</w:t>
              <w:br/>
              <w:t>Managed -</w:t>
              <w:br/>
              <w:t>Tax-</w:t>
              <w:br/>
              <w:t>Exempt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Fixed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Income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Passively</w:t>
            </w:r>
          </w:p>
          <w:p>
            <w:pPr>
              <w:pStyle w:val="TableContents"/>
              <w:bidi w:val="0"/>
              <w:spacing w:lineRule="auto" w:line="240" w:before="0" w:after="0"/>
              <w:jc w:val="center"/>
              <w:rPr/>
            </w:pPr>
            <w:r>
              <w:rPr>
                <w:rFonts w:ascii="Times New Roman;serif" w:hAnsi="Times New Roman;serif"/>
                <w:b/>
                <w:color w:val="000000"/>
                <w:sz w:val="20"/>
              </w:rPr>
              <w:t>Managed</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Alternatives/ Multi-Asset Solutions</w:t>
            </w:r>
            <w:r>
              <w:rPr>
                <w:rFonts w:ascii="Times New Roman;serif" w:hAnsi="Times New Roman;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billions)</w:t>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flows: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Sales/new accounts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Redemptions/terminations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flow/unreinvested dividends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long-term (outflows) inflows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129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appreciation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85.9</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98.7</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215.9</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905.5</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flows: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Sales/new accounts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Redemptions/terminations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flow/unreinvested dividends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long-term (outflows) inflows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129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appreciation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85.9</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98.7</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215.9</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905.5</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flows: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Sales/new accounts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Redemptions/terminations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flow/unreinvested dividends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long-term (outflows) inflows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appreciation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85.9</w:t>
            </w: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98.7</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w:t>
            </w: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215.9</w:t>
            </w: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905.5</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pPr>
      <w:r>
        <w:rPr>
          <w:rFonts w:ascii="Times New Roman;serif" w:hAnsi="Times New Roman;serif"/>
          <w:b w:val="false"/>
          <w:color w:val="000000"/>
          <w:sz w:val="12"/>
        </w:rPr>
        <w:t>(1)</w:t>
      </w:r>
      <w:r>
        <w:rPr>
          <w:rFonts w:ascii="Times New Roman;serif" w:hAnsi="Times New Roman;serif"/>
          <w:b w:val="false"/>
          <w:color w:val="000000"/>
          <w:sz w:val="18"/>
        </w:rPr>
        <w:t>Includes index and enhanced index services.</w:t>
      </w:r>
    </w:p>
    <w:p>
      <w:pPr>
        <w:pStyle w:val="TextBody"/>
        <w:bidi w:val="0"/>
        <w:spacing w:lineRule="auto" w:line="288" w:before="0" w:after="0"/>
        <w:ind w:left="0" w:right="0" w:hanging="720"/>
        <w:jc w:val="both"/>
        <w:rPr/>
      </w:pPr>
      <w:r>
        <w:rPr>
          <w:rFonts w:ascii="Times New Roman;serif" w:hAnsi="Times New Roman;serif"/>
          <w:b w:val="false"/>
          <w:color w:val="000000"/>
          <w:sz w:val="12"/>
        </w:rPr>
        <w:t>(2)</w:t>
      </w:r>
      <w:r>
        <w:rPr>
          <w:rFonts w:ascii="Times New Roman;serif" w:hAnsi="Times New Roman;serif"/>
          <w:b w:val="false"/>
          <w:color w:val="000000"/>
          <w:sz w:val="18"/>
        </w:rPr>
        <w:t>Includes certain multi-asset solutions and services not included in equity or fixed income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long-term inflows (outflows) for actively managed investment services as compared to passively managed investment services for the three-month, six-month and twelve-month periods ended June 30, 2026 are as follows:</w:t>
      </w:r>
    </w:p>
    <w:tbl>
      <w:tblPr>
        <w:tblW w:w="7721" w:type="dxa"/>
        <w:jc w:val="center"/>
        <w:tblInd w:w="0" w:type="dxa"/>
        <w:tblLayout w:type="fixed"/>
        <w:tblCellMar>
          <w:top w:w="28" w:type="dxa"/>
          <w:left w:w="28" w:type="dxa"/>
          <w:bottom w:w="28" w:type="dxa"/>
          <w:right w:w="28" w:type="dxa"/>
        </w:tblCellMar>
      </w:tblPr>
      <w:tblGrid>
        <w:gridCol w:w="1190"/>
        <w:gridCol w:w="1044"/>
        <w:gridCol w:w="1050"/>
        <w:gridCol w:w="321"/>
        <w:gridCol w:w="802"/>
        <w:gridCol w:w="168"/>
        <w:gridCol w:w="109"/>
        <w:gridCol w:w="109"/>
        <w:gridCol w:w="109"/>
        <w:gridCol w:w="262"/>
        <w:gridCol w:w="653"/>
        <w:gridCol w:w="136"/>
        <w:gridCol w:w="109"/>
        <w:gridCol w:w="109"/>
        <w:gridCol w:w="109"/>
        <w:gridCol w:w="290"/>
        <w:gridCol w:w="723"/>
        <w:gridCol w:w="428"/>
      </w:tblGrid>
      <w:tr>
        <w:trPr/>
        <w:tc>
          <w:tcPr>
            <w:tcW w:w="119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Periods Ended June 30, 2026</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Twelve-months</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Actively Managed</w:t>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Equity</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color w:val="000000"/>
              </w:rPr>
            </w:pPr>
            <w:r>
              <w:rPr>
                <w:color w:val="000000"/>
              </w:rPr>
              <w:t> </w:t>
            </w:r>
            <w:r>
              <w:rPr>
                <w:rFonts w:ascii="Times New Roman;serif" w:hAnsi="Times New Roman;serif"/>
                <w:b w:val="false"/>
                <w:color w:val="000000"/>
                <w:sz w:val="20"/>
              </w:rPr>
              <w:t xml:space="preserve">Fixed Income </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2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Alternatives/Multi-Asset Solutions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Actively Managed</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(14.9)</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(22.1)</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Passively Managed</w:t>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Equity</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color w:val="000000"/>
              </w:rPr>
            </w:pPr>
            <w:r>
              <w:rPr>
                <w:color w:val="000000"/>
              </w:rPr>
              <w:t> </w:t>
            </w:r>
            <w:r>
              <w:rPr>
                <w:rFonts w:ascii="Times New Roman;serif" w:hAnsi="Times New Roman;serif"/>
                <w:b w:val="false"/>
                <w:color w:val="000000"/>
                <w:sz w:val="20"/>
              </w:rPr>
              <w:t xml:space="preserve">Fixed Income </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42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Alternatives/Multi-Asset Solutions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Passively Managed</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w:t>
            </w:r>
            <w:r>
              <w:rPr>
                <w:color w:val="000000"/>
              </w:rPr>
              <w:t>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long-term inflows (outflows)</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w:t>
            </w:r>
            <w:r>
              <w:rPr>
                <w:color w:val="000000"/>
              </w:rPr>
              <w:t>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(13.3)</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Average assets under management by distribution channel and investment service are as follows:</w:t>
      </w:r>
    </w:p>
    <w:p>
      <w:pPr>
        <w:pStyle w:val="TextBody"/>
        <w:bidi w:val="0"/>
        <w:spacing w:before="0" w:after="0"/>
        <w:jc w:val="left"/>
        <w:rPr/>
      </w:pPr>
      <w:r>
        <w:rPr/>
      </w:r>
    </w:p>
    <w:tbl>
      <w:tblPr>
        <w:tblW w:w="11716" w:type="dxa"/>
        <w:jc w:val="left"/>
        <w:tblInd w:w="0" w:type="dxa"/>
        <w:tblLayout w:type="fixed"/>
        <w:tblCellMar>
          <w:top w:w="28" w:type="dxa"/>
          <w:left w:w="28" w:type="dxa"/>
          <w:bottom w:w="28" w:type="dxa"/>
          <w:right w:w="28" w:type="dxa"/>
        </w:tblCellMar>
      </w:tblPr>
      <w:tblGrid>
        <w:gridCol w:w="528"/>
        <w:gridCol w:w="358"/>
        <w:gridCol w:w="360"/>
        <w:gridCol w:w="109"/>
        <w:gridCol w:w="109"/>
        <w:gridCol w:w="109"/>
        <w:gridCol w:w="211"/>
        <w:gridCol w:w="631"/>
        <w:gridCol w:w="109"/>
        <w:gridCol w:w="109"/>
        <w:gridCol w:w="109"/>
        <w:gridCol w:w="109"/>
        <w:gridCol w:w="211"/>
        <w:gridCol w:w="631"/>
        <w:gridCol w:w="109"/>
        <w:gridCol w:w="109"/>
        <w:gridCol w:w="109"/>
        <w:gridCol w:w="109"/>
        <w:gridCol w:w="224"/>
        <w:gridCol w:w="560"/>
        <w:gridCol w:w="117"/>
        <w:gridCol w:w="109"/>
        <w:gridCol w:w="109"/>
        <w:gridCol w:w="109"/>
        <w:gridCol w:w="262"/>
        <w:gridCol w:w="264"/>
        <w:gridCol w:w="575"/>
        <w:gridCol w:w="109"/>
        <w:gridCol w:w="109"/>
        <w:gridCol w:w="109"/>
        <w:gridCol w:w="211"/>
        <w:gridCol w:w="631"/>
        <w:gridCol w:w="109"/>
        <w:gridCol w:w="109"/>
        <w:gridCol w:w="109"/>
        <w:gridCol w:w="109"/>
        <w:gridCol w:w="211"/>
        <w:gridCol w:w="631"/>
        <w:gridCol w:w="109"/>
        <w:gridCol w:w="109"/>
        <w:gridCol w:w="109"/>
        <w:gridCol w:w="109"/>
        <w:gridCol w:w="224"/>
        <w:gridCol w:w="560"/>
        <w:gridCol w:w="117"/>
        <w:gridCol w:w="109"/>
        <w:gridCol w:w="109"/>
        <w:gridCol w:w="109"/>
        <w:gridCol w:w="255"/>
        <w:gridCol w:w="256"/>
        <w:gridCol w:w="636"/>
      </w:tblGrid>
      <w:tr>
        <w:trPr/>
        <w:tc>
          <w:tcPr>
            <w:tcW w:w="52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Distribution Channel: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Wealth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881.2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799.5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81.7</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w:t>
            </w:r>
            <w:r>
              <w:rPr>
                <w:color w:val="000000"/>
              </w:rPr>
              <w:t> </w:t>
            </w:r>
          </w:p>
        </w:tc>
        <w:tc>
          <w:tcPr>
            <w:tcW w:w="5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878.0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77.5</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Investment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Actively Managed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Passively Managed</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Actively Managed – Taxable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5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Actively Managed – Tax-exempt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Fixed Income Passively Managed</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5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Alternatives/Multi-Asset Solutions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881.2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799.5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81.7</w:t>
            </w:r>
            <w:r>
              <w:rPr>
                <w:color w:val="000000"/>
              </w:rPr>
              <w:t>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w:t>
            </w:r>
            <w:r>
              <w:rPr>
                <w:color w:val="000000"/>
              </w:rPr>
              <w:t> </w:t>
            </w:r>
          </w:p>
        </w:tc>
        <w:tc>
          <w:tcPr>
            <w:tcW w:w="5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878.0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77.5</w:t>
            </w:r>
            <w:r>
              <w:rPr>
                <w:color w:val="000000"/>
              </w:rPr>
              <w:t>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rFonts w:ascii="Times New Roman;serif" w:hAnsi="Times New Roman;serif"/>
          <w:b w:val="false"/>
          <w:color w:val="000000"/>
          <w:sz w:val="18"/>
        </w:rPr>
        <w:t>Includes index and enhanced index services.</w:t>
      </w:r>
    </w:p>
    <w:p>
      <w:pPr>
        <w:pStyle w:val="TextBody"/>
        <w:bidi w:val="0"/>
        <w:spacing w:lineRule="auto" w:line="288" w:before="0" w:after="0"/>
        <w:ind w:left="0" w:right="0" w:hanging="720"/>
        <w:jc w:val="both"/>
        <w:rPr/>
      </w:pPr>
      <w:r>
        <w:rPr>
          <w:rFonts w:ascii="Times New Roman;serif" w:hAnsi="Times New Roman;serif"/>
          <w:b w:val="false"/>
          <w:color w:val="000000"/>
          <w:sz w:val="13"/>
        </w:rPr>
        <w:t>(2)</w:t>
      </w:r>
      <w:r>
        <w:rPr>
          <w:rFonts w:ascii="Times New Roman;serif" w:hAnsi="Times New Roman;serif"/>
          <w:b w:val="false"/>
          <w:color w:val="000000"/>
          <w:sz w:val="18"/>
        </w:rPr>
        <w:t xml:space="preserve">Includes certain multi-asset solutions and services not included in equity or fixed income services.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Institutional channel second quarter average AUM of $363.1 billion increased $34.1 billion, or 10.4%, compared to the second quarter of 2025, while Institutional channel second quarter ending AUM increased $31.1 billion, or 9.1%, to $371.1 billion from June 30, 2025. The $31.1 billion increase in AUM resulted primarily from market appreciation of $35.2 billion, partially offset by net outflows of $5.2 billion from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Retail channel second quarter average AUM of $355.1 billion increased $23.8 billion, or 7.2%, compared to the second quarter of 2025, while Retail channel second quarter ending AUM increased $22.6 billion, or 6.6%, to $367.3 billion from June 30, 2025. The $22.6 billion increase resulted primarily from market appreciation of $33.8 billion, partially offset by net outflows of $10.1 billion from June 30, 2025.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Private Wealth channel second quarter average AUM of $163.0 billion increased $23.8 billion, or 17.0%, compared to the second quarter of 2025, while Private Wealth channel second quarter ending AUM increased $22.7 billion, or 15.7%, to $167.1 billion from June 30, 2025. The $22.7 billion increase resulted from market appreciation of $20.7 billion and net inflows of $2.0 billion from June 30, 2025.</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Absolute investment composite returns, gross of fees, and relative performance as of June 30, 2026 compared to benchmarks for certain representative Institutional equity and fixed income services are as follows:</w:t>
      </w:r>
    </w:p>
    <w:tbl>
      <w:tblPr>
        <w:tblW w:w="9998" w:type="dxa"/>
        <w:jc w:val="center"/>
        <w:tblInd w:w="0" w:type="dxa"/>
        <w:tblLayout w:type="fixed"/>
        <w:tblCellMar>
          <w:top w:w="28" w:type="dxa"/>
          <w:left w:w="28" w:type="dxa"/>
          <w:bottom w:w="28" w:type="dxa"/>
          <w:right w:w="28" w:type="dxa"/>
        </w:tblCellMar>
      </w:tblPr>
      <w:tblGrid>
        <w:gridCol w:w="2271"/>
        <w:gridCol w:w="1996"/>
        <w:gridCol w:w="2003"/>
        <w:gridCol w:w="290"/>
        <w:gridCol w:w="295"/>
        <w:gridCol w:w="383"/>
        <w:gridCol w:w="109"/>
        <w:gridCol w:w="109"/>
        <w:gridCol w:w="109"/>
        <w:gridCol w:w="291"/>
        <w:gridCol w:w="294"/>
        <w:gridCol w:w="475"/>
        <w:gridCol w:w="109"/>
        <w:gridCol w:w="109"/>
        <w:gridCol w:w="109"/>
        <w:gridCol w:w="254"/>
        <w:gridCol w:w="257"/>
        <w:gridCol w:w="535"/>
      </w:tblGrid>
      <w:tr>
        <w:trPr/>
        <w:tc>
          <w:tcPr>
            <w:tcW w:w="2271"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3-Year</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5-Year</w:t>
            </w:r>
            <w:r>
              <w:rPr>
                <w:rFonts w:ascii="Times New Roman;serif" w:hAnsi="Times New Roman;serif"/>
                <w:b/>
                <w:color w:val="000000"/>
                <w:sz w:val="13"/>
              </w:rPr>
              <w:t>(1)</w:t>
            </w:r>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(fixed income)</w:t>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Bloomberg Barclays U.S. Aggregate Index)</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High Income (fixed income)</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Bloomberg Barclays Global High Yield Index - Hedged)</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Global Plus - Hedged (fixed income)</w:t>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Bloomberg Barclays Global Aggregate Index - Hedged)</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Intermediate Municipal Bonds (fixed income)</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Lipper Short/Int. Blended Muni Fund Avg)</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Core Fixed Income (fixed income)</w:t>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Bloomberg Barclays U.S. Aggregate Index)</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Emerging Market Debt (fixed income)</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JPM EMBI Global/JPM EMBI)</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Sustainable Global Thematic</w:t>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MSCI ACWI Index)</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 Strategic Core Equity</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MSCI EAFE Index)</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Small &amp; Mid Cap Value</w:t>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Russell 2500 Value Index)</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Large Cap Value</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Russell 1000 Value Index)</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Small Cap Growth</w:t>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Russell 2000 Growth Index)</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tbl>
      <w:tblPr>
        <w:tblW w:w="7396" w:type="dxa"/>
        <w:jc w:val="center"/>
        <w:tblInd w:w="0" w:type="dxa"/>
        <w:tblLayout w:type="fixed"/>
        <w:tblCellMar>
          <w:top w:w="28" w:type="dxa"/>
          <w:left w:w="28" w:type="dxa"/>
          <w:bottom w:w="28" w:type="dxa"/>
          <w:right w:w="28" w:type="dxa"/>
        </w:tblCellMar>
      </w:tblPr>
      <w:tblGrid>
        <w:gridCol w:w="1481"/>
        <w:gridCol w:w="1305"/>
        <w:gridCol w:w="1308"/>
        <w:gridCol w:w="317"/>
        <w:gridCol w:w="268"/>
        <w:gridCol w:w="231"/>
        <w:gridCol w:w="109"/>
        <w:gridCol w:w="109"/>
        <w:gridCol w:w="109"/>
        <w:gridCol w:w="293"/>
        <w:gridCol w:w="293"/>
        <w:gridCol w:w="286"/>
        <w:gridCol w:w="109"/>
        <w:gridCol w:w="109"/>
        <w:gridCol w:w="109"/>
        <w:gridCol w:w="293"/>
        <w:gridCol w:w="293"/>
        <w:gridCol w:w="374"/>
      </w:tblGrid>
      <w:tr>
        <w:trPr/>
        <w:tc>
          <w:tcPr>
            <w:tcW w:w="148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3-Year</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5-Year</w:t>
            </w:r>
            <w:r>
              <w:rPr>
                <w:rFonts w:ascii="Times New Roman;serif" w:hAnsi="Times New Roman;serif"/>
                <w:b/>
                <w:color w:val="000000"/>
                <w:sz w:val="13"/>
              </w:rPr>
              <w:t>(1)</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Large Cap Growth</w:t>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Russell 1000 Growth Index)</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Small &amp; Mid Cap Growth</w:t>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Russell 2500 Growth Index)</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Concentrated U.S. Growth</w:t>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S&amp;P 500 Index)</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 U.S. Equity</w:t>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S&amp;P 500 Index)</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Strategic Equities</w:t>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Russell 3000 Index)</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Global Core Equity</w:t>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MSCI ACWI Index)</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Strategic Core Equity</w:t>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S&amp;P 500 Index)</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 U.S. Equity Long/Short</w:t>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S&amp;P 500 Index)</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Global Strategic Core Equity </w:t>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return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Relative return (vs. MSCI World Index - Hedged)</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rFonts w:ascii="Times New Roman;serif" w:hAnsi="Times New Roman;serif"/>
          <w:b w:val="false"/>
          <w:color w:val="000000"/>
          <w:sz w:val="18"/>
        </w:rPr>
        <w:t>Reflects annualized returns.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Consolidated Results of Operations</w:t>
      </w:r>
    </w:p>
    <w:tbl>
      <w:tblPr>
        <w:tblW w:w="14233" w:type="dxa"/>
        <w:jc w:val="left"/>
        <w:tblInd w:w="0" w:type="dxa"/>
        <w:tblLayout w:type="fixed"/>
        <w:tblCellMar>
          <w:top w:w="28" w:type="dxa"/>
          <w:left w:w="28" w:type="dxa"/>
          <w:bottom w:w="28" w:type="dxa"/>
          <w:right w:w="28" w:type="dxa"/>
        </w:tblCellMar>
      </w:tblPr>
      <w:tblGrid>
        <w:gridCol w:w="569"/>
        <w:gridCol w:w="502"/>
        <w:gridCol w:w="340"/>
        <w:gridCol w:w="109"/>
        <w:gridCol w:w="109"/>
        <w:gridCol w:w="109"/>
        <w:gridCol w:w="211"/>
        <w:gridCol w:w="976"/>
        <w:gridCol w:w="271"/>
        <w:gridCol w:w="109"/>
        <w:gridCol w:w="109"/>
        <w:gridCol w:w="109"/>
        <w:gridCol w:w="211"/>
        <w:gridCol w:w="976"/>
        <w:gridCol w:w="271"/>
        <w:gridCol w:w="109"/>
        <w:gridCol w:w="109"/>
        <w:gridCol w:w="109"/>
        <w:gridCol w:w="211"/>
        <w:gridCol w:w="721"/>
        <w:gridCol w:w="109"/>
        <w:gridCol w:w="109"/>
        <w:gridCol w:w="109"/>
        <w:gridCol w:w="109"/>
        <w:gridCol w:w="255"/>
        <w:gridCol w:w="256"/>
        <w:gridCol w:w="551"/>
        <w:gridCol w:w="109"/>
        <w:gridCol w:w="109"/>
        <w:gridCol w:w="109"/>
        <w:gridCol w:w="211"/>
        <w:gridCol w:w="976"/>
        <w:gridCol w:w="271"/>
        <w:gridCol w:w="109"/>
        <w:gridCol w:w="109"/>
        <w:gridCol w:w="109"/>
        <w:gridCol w:w="211"/>
        <w:gridCol w:w="976"/>
        <w:gridCol w:w="271"/>
        <w:gridCol w:w="109"/>
        <w:gridCol w:w="109"/>
        <w:gridCol w:w="109"/>
        <w:gridCol w:w="211"/>
        <w:gridCol w:w="826"/>
        <w:gridCol w:w="109"/>
        <w:gridCol w:w="109"/>
        <w:gridCol w:w="109"/>
        <w:gridCol w:w="109"/>
        <w:gridCol w:w="255"/>
        <w:gridCol w:w="256"/>
        <w:gridCol w:w="614"/>
      </w:tblGrid>
      <w:tr>
        <w:trPr/>
        <w:tc>
          <w:tcPr>
            <w:tcW w:w="56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per unit amounts)</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1,171,004 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1,088,907 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2,372,730 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2,169,514 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881,852 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1,756,778 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1,711,051 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of consolidated entities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AB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AB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per AB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margin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rFonts w:ascii="Times New Roman;serif" w:hAnsi="Times New Roman;serif"/>
          <w:b w:val="false"/>
          <w:color w:val="000000"/>
          <w:sz w:val="18"/>
        </w:rPr>
        <w:t>Operating income excluding net income (loss) attributable to non-controlling interests as a percentage of net revenues.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AB Unitholders for the three months ended June 30, 2026 increased $44.8 million, or 21.3%, from the three months ended June 30, 2025. The increase primarily is due to (in millions):</w:t>
      </w:r>
    </w:p>
    <w:tbl>
      <w:tblPr>
        <w:tblW w:w="7641" w:type="dxa"/>
        <w:jc w:val="left"/>
        <w:tblInd w:w="0" w:type="dxa"/>
        <w:tblLayout w:type="fixed"/>
        <w:tblCellMar>
          <w:top w:w="28" w:type="dxa"/>
          <w:left w:w="28" w:type="dxa"/>
          <w:bottom w:w="28" w:type="dxa"/>
          <w:right w:w="28" w:type="dxa"/>
        </w:tblCellMar>
      </w:tblPr>
      <w:tblGrid>
        <w:gridCol w:w="2447"/>
        <w:gridCol w:w="2148"/>
        <w:gridCol w:w="2155"/>
        <w:gridCol w:w="211"/>
        <w:gridCol w:w="526"/>
        <w:gridCol w:w="154"/>
      </w:tblGrid>
      <w:tr>
        <w:trPr/>
        <w:tc>
          <w:tcPr>
            <w:tcW w:w="2447"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investment advisory base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investment gains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Lower general and administrative expense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performance-based fees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employee compensation and benefits expense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net income of consolidated entities attributable to non-controlling interest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AB Unitholders for the six months ended June 30, 2026 increased $119.4 million, or 27.7%, from the six months ended June 30, 2025. The increase primarily is due to (in millions):</w:t>
      </w:r>
    </w:p>
    <w:tbl>
      <w:tblPr>
        <w:tblW w:w="7746" w:type="dxa"/>
        <w:jc w:val="left"/>
        <w:tblInd w:w="0" w:type="dxa"/>
        <w:tblLayout w:type="fixed"/>
        <w:tblCellMar>
          <w:top w:w="28" w:type="dxa"/>
          <w:left w:w="28" w:type="dxa"/>
          <w:bottom w:w="28" w:type="dxa"/>
          <w:right w:w="28" w:type="dxa"/>
        </w:tblCellMar>
      </w:tblPr>
      <w:tblGrid>
        <w:gridCol w:w="2447"/>
        <w:gridCol w:w="2148"/>
        <w:gridCol w:w="2155"/>
        <w:gridCol w:w="211"/>
        <w:gridCol w:w="631"/>
        <w:gridCol w:w="154"/>
      </w:tblGrid>
      <w:tr>
        <w:trPr/>
        <w:tc>
          <w:tcPr>
            <w:tcW w:w="2447"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Higher investment gains</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investment advisory base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performance-based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Lower general and administrative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distribution revenues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employee compensation and benefits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net income of consolidated entities attributable to non-controlling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income tax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(2)</w:t>
      </w:r>
      <w:r>
        <w:rPr>
          <w:rFonts w:ascii="Times New Roman;serif" w:hAnsi="Times New Roman;serif"/>
          <w:b w:val="false"/>
          <w:color w:val="000000"/>
          <w:sz w:val="18"/>
        </w:rPr>
        <w:t>During the first quarter of 2026, we recognized a gain of $48.4 million related to the exercise of the AB option</w:t>
      </w:r>
      <w:r>
        <w:rPr>
          <w:color w:val="000000"/>
        </w:rPr>
        <w:t xml:space="preserve"> </w:t>
      </w:r>
      <w:r>
        <w:rPr>
          <w:rFonts w:ascii="Times New Roman;serif" w:hAnsi="Times New Roman;serif"/>
          <w:b w:val="false"/>
          <w:i/>
          <w:color w:val="000000"/>
          <w:sz w:val="18"/>
        </w:rPr>
        <w:t>as discussed above under Joint Venture with Societe Generale in this Item 2</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Units Outstanding; Unit Repurchases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quarter, we consider whether to implement a plan to repurchase AB Holding Units pursuant to Rules 10b5-1 and 10b-18 under the Securities Exchange Act of 1934, as amended (“Exchange Act”). A plan of this type allows a company to repurchase its shares at times when it otherwise might be prevented from doing so because of self-imposed trading blackout periods or because it possesses material non-public information. Each broker we select has the authority to repurchase AB Holding Units on our behalf in accordance with the terms and limitations specified in the plan. Repurchases are subject to regulations promulgated by the SEC, as well as certain price, market volume and timing constraints specified in the plan. The plan adopted during the second quarter of 2026 expired at the close of business on July 27, 2026. We may adopt additional plans in the future to engage in open-market purchases of AB Holding Units for anticipated obligations under our incentive compensation award program and for other corporate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Distributions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We are required to distribute all of our Available Cash Flow, as defined in the AB Partnership Agreement, to our Unitholders and the General Partner. Available Cash Flow typically is the adjusted net income per Unit for the quarter multiplied by the number of general and limited partnership interests at the end of the quarter. Management anticipates that Available Cash Flow will continue to be based on adjusted net income per Unit. If management determines, with the concurrence of the Board of Directors, that certain adjustments to Available Cash Flow are necessary or unnecessary, such adjustments will be made in future periods. </w:t>
      </w:r>
      <w:r>
        <w:rPr>
          <w:rFonts w:ascii="Times New Roman;serif" w:hAnsi="Times New Roman;serif"/>
          <w:b w:val="false"/>
          <w:i/>
          <w:color w:val="000000"/>
          <w:sz w:val="20"/>
        </w:rPr>
        <w:t>See Note 6 to our condensed consolidated financial statements contained in Item 1</w:t>
      </w:r>
      <w:r>
        <w:rPr>
          <w:color w:val="000000"/>
        </w:rPr>
        <w:t xml:space="preserve"> </w:t>
      </w:r>
      <w:r>
        <w:rPr>
          <w:rFonts w:ascii="Times New Roman;serif" w:hAnsi="Times New Roman;serif"/>
          <w:b w:val="false"/>
          <w:color w:val="000000"/>
          <w:sz w:val="20"/>
        </w:rPr>
        <w:t>for a description of Available Cash Flow.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Management Operating Metrics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providing the non-GAAP measures “adjusted net revenues,” “adjusted operating income” and “adjusted operating margin” because they are additional operating metrics management uses in evaluating and comparing period-to-period operating performance. Management uses these additional metrics in evaluating performance because they present a clearer picture of our operating performance and allow management to see long-term trends without the distortion primarily caused by long-term incentive compensation-related mark-to-market adjustments, acquisition-related expenses, interest expense and other adjustment items. Similarly, we believe that these management operating metrics help investors better understand the underlying trends in our results and, accordingly, provide a valuable perspective for investors.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provide the non-GAAP measures "adjusted net income" and "adjusted net income per Unit" because our quarterly distribution per unit is typically our adjusted net income per unit (which is derived from adjusted net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non-GAAP measures are provided in addition to, and not as substitutes for, net revenues, operating income and operating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margin, and they may not be comparable to non-GAAP measures presented by other companies. Management uses both accounting principles generally accepted in the United States of America ("US GAAP") and non-GAAP measures in evaluating our financial performance. The non-GAAP measures alone may pose limitations because they do not include all of our revenues and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53"/>
        <w:gridCol w:w="823"/>
        <w:gridCol w:w="662"/>
        <w:gridCol w:w="109"/>
        <w:gridCol w:w="109"/>
        <w:gridCol w:w="109"/>
        <w:gridCol w:w="211"/>
        <w:gridCol w:w="991"/>
        <w:gridCol w:w="301"/>
        <w:gridCol w:w="109"/>
        <w:gridCol w:w="109"/>
        <w:gridCol w:w="109"/>
        <w:gridCol w:w="211"/>
        <w:gridCol w:w="991"/>
        <w:gridCol w:w="301"/>
        <w:gridCol w:w="109"/>
        <w:gridCol w:w="109"/>
        <w:gridCol w:w="109"/>
        <w:gridCol w:w="211"/>
        <w:gridCol w:w="991"/>
        <w:gridCol w:w="301"/>
        <w:gridCol w:w="109"/>
        <w:gridCol w:w="109"/>
        <w:gridCol w:w="109"/>
        <w:gridCol w:w="211"/>
        <w:gridCol w:w="991"/>
        <w:gridCol w:w="348"/>
      </w:tblGrid>
      <w:tr>
        <w:trPr/>
        <w:tc>
          <w:tcPr>
            <w:tcW w:w="135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2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per unit amounts)</w:t>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revenues, US 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1,171,004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1,088,907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2,372,730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2,169,514</w:t>
            </w: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Distribution-related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(200,919)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(198,367)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(403,737)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(397,387)</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advisory services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(42,093)</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Pass-through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advisory services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(26,415)</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(31,039)</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consolidated company-sponsored investment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investment advisory and services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(63,904)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compensation-related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(8,965)</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(gain) loss on JV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19,444 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other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887,547</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844,434</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1,758,683</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1,682,647</w:t>
            </w:r>
            <w:r>
              <w:rPr>
                <w:color w:val="000000"/>
              </w:rPr>
              <w:t>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US 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289,152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222,094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615,952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458,463</w:t>
            </w: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compensation-related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EQH award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plan settlement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20,756 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25,446 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(gain) loss on JVs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19,444 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other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 Funds reimbursement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14,296 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of non-GAAP adjustments before interest on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79,364 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15,601 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of 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94,965 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of consolidated entities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292,980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272,964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584,159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555,712</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on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15,601 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pre-tax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285,881 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264,501 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569,853</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540,111</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Adjusted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16,594 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17,642 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32,331 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34,729 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Adjusted 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269,287</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246,859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537,522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505,382</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AB Unit, 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per AB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margin, 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w:t>
            </w: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w:t>
            </w: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w:t>
            </w: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w:t>
            </w: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w:t>
            </w:r>
            <w:r>
              <w:rPr>
                <w:color w:val="000000"/>
              </w:rPr>
              <w:t> </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operating income for the three months ended June 30, 2026 increased $20.0 million, or 7.3%, from the three months ended June 30, 2025, primarily due to higher investment advisory base fees of $56.6 million, partially offset by higher employee compensation and benefits expense of $21.7 million, lower performance-based fees of $5.8 million, lower investment gains of $5.3 million and higher general and administrative expense of $2.6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operating income for the six months ended June 30, 2026 increased $28.4 million, or 5.1%, from the six months ended June 30, 2025, primarily due to higher investment advisory base fees of $94.1 million and higher other revenues of $4.0 million, partially offset by higher employee compensation and benefits expense of $39.5 million, lower performance-based fees of $22.0 million and higher general and administrative expense of $7.7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Adjusted Net Revenues</w:t>
      </w:r>
    </w:p>
    <w:p>
      <w:pPr>
        <w:pStyle w:val="TextBody"/>
        <w:bidi w:val="0"/>
        <w:spacing w:lineRule="auto" w:line="288" w:before="120" w:after="160"/>
        <w:jc w:val="both"/>
        <w:rPr>
          <w:rFonts w:ascii="Times New Roman;serif" w:hAnsi="Times New Roman;serif"/>
          <w:b w:val="false"/>
          <w:color w:val="000000"/>
          <w:sz w:val="20"/>
        </w:rPr>
      </w:pPr>
      <w:r>
        <w:rPr>
          <w:rFonts w:ascii="Times New Roman;serif" w:hAnsi="Times New Roman;serif"/>
          <w:b w:val="false"/>
          <w:color w:val="000000"/>
          <w:sz w:val="20"/>
        </w:rPr>
        <w:t>Net Revenue, as adjusted, excludes all of the company's distribution revenues, which are recorded as a separate line item on the consolidated statement of income, as well as a portion of investment advisory services fees received that is used to pay distribution and servicing costs. For certain products, based on the distinct arrangements, certain distribution fees are collected by us and passed through to third-party client intermediaries, while for certain other products, we collect investment advisory services fees and a portion is passed through to third-party client intermediaries. In both arrangements, the third-party client intermediary owns the relationship with the client and is responsible for performing services and distributing the product to the client on our behalf. We believe offsetting distribution revenues and certain investment advisory services fees is useful for our investors and other users of our financial statements because such presentation appropriately reflects the nature of these costs as pass-through payments to third parties that perform functions on behalf of our sponsored mutual funds and/or shareholders of these funds. Distribution-related adjustments fluctuate each period based on the type of investment products sold, as well as the average AUM over the period. Also, we adjust distribution revenues for the amortization of deferred sales commissions as these costs, over time, will offset such revenues.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adjust investment advisory and services fees and other revenues for pass through costs, primarily related to our transfer agent and shareholder servicing fees. Also, we adjust for certain investment advisory and services fees passed through to our investment advisors. These fees do not affect operating income, as such, we exclude these fees from adjusted net revenues. We also adjust for certain pass through costs associated with the transition of services to the JV entered into with SocGen. These amounts are expensed by us and passed to the JV for reimbursement. These fees do not affect operating income, as such, we exclude these fees from adjusted net revenues.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adjust for the revenue impact of consolidating company-sponsored investment funds by eliminating the consolidated company-sponsored investment funds' revenues and including AB's fees from such consolidated company-sponsored investment funds and AB's investment gains and losses on its investments in such consolidated company-sponsored investment funds that were eliminated in consolidation.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adjust investment advisory and services fees for pass through performance fees, primarily related to acquisition-related funds in which we do not participate in the performance.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Adjusted net revenues exclude investment gains and losses and dividends and interest on employee long-term incentive compensation-related investments. Also, we adjust for certain acquisition-related pass-through performance-based fees and performance related compensation.</w:t>
      </w:r>
    </w:p>
    <w:p>
      <w:pPr>
        <w:pStyle w:val="TextBody"/>
        <w:bidi w:val="0"/>
        <w:spacing w:lineRule="auto" w:line="283" w:before="120" w:after="283"/>
        <w:jc w:val="both"/>
        <w:rPr/>
      </w:pPr>
      <w:r>
        <w:rPr>
          <w:rFonts w:ascii="Times New Roman;serif" w:hAnsi="Times New Roman;serif"/>
          <w:b w:val="false"/>
          <w:color w:val="000000"/>
          <w:sz w:val="20"/>
        </w:rPr>
        <w:t>We also adjust net revenues to exclude our portion of the equity income or loss associated with our equity method investments, including our investment in the JV and reinsurance sidecars, as we don't consider this activity part of our core business operations and these investments generate non-cash volatility which distort core earnings performance. Effective April 1, 2024 following the close of the transaction with SocGen, we record all income or loss associated with the JV as an equity method investment income (loss). As we no longer consider this activity part of our core business operations and our intent is to fully divest from the joint venture, we consider these amounts temporary, and as such, we exclude these amounts from our adjusted net revenues. On January 1, 2026, AB entered into an Amended and Restated Shareholder agreement with SocGen (the "Amendment Agreement") and exercised the AB option (</w:t>
      </w:r>
      <w:r>
        <w:rPr>
          <w:rFonts w:ascii="Times New Roman;serif" w:hAnsi="Times New Roman;serif"/>
          <w:b w:val="false"/>
          <w:i/>
          <w:color w:val="000000"/>
          <w:sz w:val="20"/>
        </w:rPr>
        <w:t>as discussed above</w:t>
      </w:r>
      <w:r>
        <w:rPr>
          <w:rFonts w:ascii="Times New Roman;serif" w:hAnsi="Times New Roman;serif"/>
          <w:b w:val="false"/>
          <w:color w:val="000000"/>
          <w:sz w:val="20"/>
        </w:rPr>
        <w:t xml:space="preserve">) to deliver a 17.7% interest in the NA JV to SocGen. The prepaid consideration received was in excess of the carrying value of the 17.7% equity in the NA JV resulting in a gain of $48.4 million recognized in the first quarter of 2026. </w:t>
      </w:r>
    </w:p>
    <w:p>
      <w:pPr>
        <w:pStyle w:val="TextBody"/>
        <w:bidi w:val="0"/>
        <w:spacing w:before="120" w:after="283"/>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Adjusted Operating Income</w:t>
      </w:r>
    </w:p>
    <w:p>
      <w:pPr>
        <w:pStyle w:val="TextBody"/>
        <w:bidi w:val="0"/>
        <w:spacing w:lineRule="auto" w:line="283"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Adjusted operating income represents operating income on a US GAAP basis excluding (1) the impact on net revenues and compensation expense of the investment gains and losses (as well as the dividends and interest) associated with employee long-term incentive compensation-related investments, (2) the equity compensation paid by EQH to certain AB executives, (3) retirement plan settlement loss, (4) acquisition-related expenses (income), (5) income (loss) related to our equity method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3" w:before="120" w:after="283"/>
        <w:jc w:val="both"/>
        <w:rPr>
          <w:rFonts w:ascii="Times New Roman;serif" w:hAnsi="Times New Roman;serif"/>
          <w:b w:val="false"/>
          <w:color w:val="000000"/>
          <w:sz w:val="20"/>
        </w:rPr>
      </w:pPr>
      <w:r>
        <w:rPr>
          <w:rFonts w:ascii="Times New Roman;serif" w:hAnsi="Times New Roman;serif"/>
          <w:b w:val="false"/>
          <w:color w:val="000000"/>
          <w:sz w:val="20"/>
        </w:rPr>
        <w:t>investments, (6) AB Funds reimbursement expense, (7) interest on borrowings and (8) the impact of consolidated company-sponsored investment funds.</w:t>
      </w:r>
    </w:p>
    <w:p>
      <w:pPr>
        <w:pStyle w:val="TextBody"/>
        <w:bidi w:val="0"/>
        <w:spacing w:lineRule="auto" w:line="283" w:before="120" w:after="283"/>
        <w:jc w:val="both"/>
        <w:rPr>
          <w:rFonts w:ascii="Times New Roman;serif" w:hAnsi="Times New Roman;serif"/>
          <w:b w:val="false"/>
          <w:color w:val="000000"/>
          <w:sz w:val="20"/>
        </w:rPr>
      </w:pPr>
      <w:r>
        <w:rPr>
          <w:rFonts w:ascii="Times New Roman;serif" w:hAnsi="Times New Roman;serif"/>
          <w:b w:val="false"/>
          <w:color w:val="000000"/>
          <w:sz w:val="20"/>
        </w:rPr>
        <w:t>Long-term incentive compensation awards that are notionally invested in AB investment services are economically hedged to reduce the firm's exposure to market movements through the purchase and holding of these investments on AB’s balance sheet. Fluctuation in the value of investments is recorded within investment gains and losses on the income statement. Management believes it is useful to reflect the offset achieved from economically hedging the market exposure of these investments in the calculation of adjusted operating income and adjusted operating margin. The non-GAAP measures exclude gains and losses and dividends and interest on employee long-term incentive compensation-related investments included in revenues and compensation expense.</w:t>
      </w:r>
    </w:p>
    <w:p>
      <w:pPr>
        <w:pStyle w:val="TextBody"/>
        <w:bidi w:val="0"/>
        <w:spacing w:lineRule="auto" w:line="283" w:before="120" w:after="283"/>
        <w:jc w:val="both"/>
        <w:rPr>
          <w:rFonts w:ascii="Times New Roman;serif" w:hAnsi="Times New Roman;serif"/>
          <w:b w:val="false"/>
          <w:color w:val="000000"/>
          <w:sz w:val="20"/>
        </w:rPr>
      </w:pPr>
      <w:r>
        <w:rPr>
          <w:rFonts w:ascii="Times New Roman;serif" w:hAnsi="Times New Roman;serif"/>
          <w:b w:val="false"/>
          <w:color w:val="000000"/>
          <w:sz w:val="20"/>
        </w:rPr>
        <w:t>The board of directors of EQH granted equity awards to Mr. Bernstein, our CEO, and other AB executives for their membership on the EQH Management Committee. These individuals may receive additional equity or cash compensation from EQH in the future related to their service on the Management Committee. Any awards granted to these individuals by EQH are recorded as compensation expense in AB’s consolidated statement of income. The compensation expense associated with these awards has been excluded from our non-GAAP measures because they are non-cash and are based upon EQH's, and not AB's, financial performance.</w:t>
      </w:r>
    </w:p>
    <w:p>
      <w:pPr>
        <w:pStyle w:val="TextBody"/>
        <w:bidi w:val="0"/>
        <w:spacing w:lineRule="auto" w:line="283" w:before="120" w:after="283"/>
        <w:jc w:val="both"/>
        <w:rPr>
          <w:rFonts w:ascii="Times New Roman;serif" w:hAnsi="Times New Roman;serif"/>
          <w:b w:val="false"/>
          <w:color w:val="000000"/>
          <w:sz w:val="20"/>
        </w:rPr>
      </w:pPr>
      <w:r>
        <w:rPr>
          <w:rFonts w:ascii="Times New Roman;serif" w:hAnsi="Times New Roman;serif"/>
          <w:b w:val="false"/>
          <w:color w:val="000000"/>
          <w:sz w:val="20"/>
        </w:rPr>
        <w:t>The (gains) losses associated with the termination of our defined benefit retirement plan are non-cash, short term in nature and not considered a part of our core operating results when comparing financial results from period to period.</w:t>
      </w:r>
    </w:p>
    <w:p>
      <w:pPr>
        <w:pStyle w:val="TextBody"/>
        <w:bidi w:val="0"/>
        <w:spacing w:lineRule="auto" w:line="283" w:before="120" w:after="283"/>
        <w:jc w:val="both"/>
        <w:rPr>
          <w:rFonts w:ascii="Times New Roman;serif" w:hAnsi="Times New Roman;serif"/>
          <w:b w:val="false"/>
          <w:color w:val="000000"/>
          <w:sz w:val="20"/>
        </w:rPr>
      </w:pPr>
      <w:r>
        <w:rPr>
          <w:rFonts w:ascii="Times New Roman;serif" w:hAnsi="Times New Roman;serif"/>
          <w:b w:val="false"/>
          <w:color w:val="000000"/>
          <w:sz w:val="20"/>
        </w:rPr>
        <w:t>Acquisition-related expenses have been excluded because they are not considered part of our core operating results when comparing financial results from period to period and to industry peers. Acquisition-related expenses include professional fees, the recording of changes in estimates or fair value remeasurements to, and accretion expense related to, our contingent payment arrangements associated with our acquisitions, certain compensation-related expenses and amortization of intangible assets for contracts acquired.</w:t>
      </w:r>
    </w:p>
    <w:p>
      <w:pPr>
        <w:pStyle w:val="TextBody"/>
        <w:bidi w:val="0"/>
        <w:spacing w:lineRule="auto" w:line="283" w:before="120" w:after="283"/>
        <w:jc w:val="both"/>
        <w:rPr/>
      </w:pPr>
      <w:r>
        <w:rPr>
          <w:rFonts w:ascii="Times New Roman;serif" w:hAnsi="Times New Roman;serif"/>
          <w:b w:val="false"/>
          <w:color w:val="000000"/>
          <w:sz w:val="20"/>
        </w:rPr>
        <w:t>We also adjust operating income to exclude our portion of the equity income or loss associated with our equity method investments, including our investment in the JV and reinsurance sidecar, as we don't consider this activity part of our core business operations and these investments generate non-cash volatility which distort core earnings performance. Effective April 1, 2024, following the close of the transaction with SocGen, we record all income or loss associated with the JV as an equity method investment (income) loss. As we no longer consider this activity part of our core business operations and our intent is to fully divest from the joint venture, we consider these amounts temporary, and as such, we exclude these amounts from our adjusted operating income. On January 1, 2026, AB entered into the Amendment Agreement with SocGen and exercised the AB option (</w:t>
      </w:r>
      <w:r>
        <w:rPr>
          <w:rFonts w:ascii="Times New Roman;serif" w:hAnsi="Times New Roman;serif"/>
          <w:b w:val="false"/>
          <w:i/>
          <w:color w:val="000000"/>
          <w:sz w:val="20"/>
        </w:rPr>
        <w:t>as discussed above</w:t>
      </w:r>
      <w:r>
        <w:rPr>
          <w:rFonts w:ascii="Times New Roman;serif" w:hAnsi="Times New Roman;serif"/>
          <w:b w:val="false"/>
          <w:color w:val="000000"/>
          <w:sz w:val="20"/>
        </w:rPr>
        <w:t xml:space="preserve">) to deliver a 17.7% interest in the NA JV to SocGen. The prepaid consideration received was in excess of the carrying value of the 17.7% equity in the NA JV resulting in a gain of $48.4 million recognized in the first quarter of 2026. </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2025, we identified an error in the billing practices of a third-party service provider, who had over billed certain AB mutual funds for omnibus account services, sub-accounting services, and related transfer agency expenses in prior years. The matter remains in dispute with the service provider. In the second quarter of 2025, at the request of the mutual fund Board, AB agreed to reimburse the affected funds for the entirety of the overpayment plus interest. We have adjusted operating income to exclude these reimbursements. We believe adjusting for these costs is useful for our investors and other users of our financial statements as such presentation appropriately reflects the non-core nature of this expenditure.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adjust operating income to exclude interest on borrowings in order to align with our industry peer group.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adjust for the operating income impact of consolidating certain company-sponsored investment funds by eliminating the consolidated company-sponsored funds' revenues and expenses and including AB's revenues and expenses that were eliminated in consolidation. We also exclude the limited partner interests we do not own.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Adjusted Net Income per AB Unit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As previously discussed</w:t>
      </w:r>
      <w:r>
        <w:rPr>
          <w:rFonts w:ascii="Times New Roman;serif" w:hAnsi="Times New Roman;serif"/>
          <w:b w:val="false"/>
          <w:color w:val="000000"/>
          <w:sz w:val="20"/>
        </w:rPr>
        <w:t>, our quarterly distribution is typically our adjusted net income per Unit (which is derived from adjusted net income) for the quarter multiplied by the number of general and limited partnership interests outstanding at the end of the quarter. Adjusted net income is derived from adjusted operating income less interest expense and adjusted income taxes. Adjusted income taxes, used in calculating adjusted net income, are calculated using the GAAP effective tax rate adjusted for non-GAAP income tax adjustments.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Adjusted Operating Margin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Adjusted operating margin allows us to monitor our financial performance and efficiency from period to period without the volatility </w:t>
      </w:r>
      <w:r>
        <w:rPr>
          <w:rFonts w:ascii="Times New Roman;serif" w:hAnsi="Times New Roman;serif"/>
          <w:b w:val="false"/>
          <w:i/>
          <w:color w:val="000000"/>
          <w:sz w:val="20"/>
        </w:rPr>
        <w:t>noted above in our discussion of adjusted operating income</w:t>
      </w:r>
      <w:r>
        <w:rPr>
          <w:color w:val="000000"/>
        </w:rPr>
        <w:t xml:space="preserve"> </w:t>
      </w:r>
      <w:r>
        <w:rPr>
          <w:rFonts w:ascii="Times New Roman;serif" w:hAnsi="Times New Roman;serif"/>
          <w:b w:val="false"/>
          <w:color w:val="000000"/>
          <w:sz w:val="20"/>
        </w:rPr>
        <w:t>and to compare our performance to industry peers on a basis that better reflects our performance in our core business. Adjusted operating margin is derived by dividing adjusted operating income by adjusted net revenues.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Net Revenues</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components of net revenues are as follows:</w:t>
      </w:r>
    </w:p>
    <w:tbl>
      <w:tblPr>
        <w:tblW w:w="14057" w:type="dxa"/>
        <w:jc w:val="left"/>
        <w:tblInd w:w="0" w:type="dxa"/>
        <w:tblLayout w:type="fixed"/>
        <w:tblCellMar>
          <w:top w:w="28" w:type="dxa"/>
          <w:left w:w="28" w:type="dxa"/>
          <w:bottom w:w="28" w:type="dxa"/>
          <w:right w:w="28" w:type="dxa"/>
        </w:tblCellMar>
      </w:tblPr>
      <w:tblGrid>
        <w:gridCol w:w="1000"/>
        <w:gridCol w:w="325"/>
        <w:gridCol w:w="326"/>
        <w:gridCol w:w="109"/>
        <w:gridCol w:w="109"/>
        <w:gridCol w:w="109"/>
        <w:gridCol w:w="211"/>
        <w:gridCol w:w="991"/>
        <w:gridCol w:w="109"/>
        <w:gridCol w:w="109"/>
        <w:gridCol w:w="109"/>
        <w:gridCol w:w="109"/>
        <w:gridCol w:w="211"/>
        <w:gridCol w:w="991"/>
        <w:gridCol w:w="109"/>
        <w:gridCol w:w="109"/>
        <w:gridCol w:w="109"/>
        <w:gridCol w:w="109"/>
        <w:gridCol w:w="211"/>
        <w:gridCol w:w="736"/>
        <w:gridCol w:w="109"/>
        <w:gridCol w:w="109"/>
        <w:gridCol w:w="109"/>
        <w:gridCol w:w="109"/>
        <w:gridCol w:w="262"/>
        <w:gridCol w:w="264"/>
        <w:gridCol w:w="551"/>
        <w:gridCol w:w="109"/>
        <w:gridCol w:w="109"/>
        <w:gridCol w:w="109"/>
        <w:gridCol w:w="211"/>
        <w:gridCol w:w="991"/>
        <w:gridCol w:w="109"/>
        <w:gridCol w:w="109"/>
        <w:gridCol w:w="109"/>
        <w:gridCol w:w="109"/>
        <w:gridCol w:w="211"/>
        <w:gridCol w:w="991"/>
        <w:gridCol w:w="109"/>
        <w:gridCol w:w="109"/>
        <w:gridCol w:w="109"/>
        <w:gridCol w:w="109"/>
        <w:gridCol w:w="211"/>
        <w:gridCol w:w="841"/>
        <w:gridCol w:w="109"/>
        <w:gridCol w:w="109"/>
        <w:gridCol w:w="109"/>
        <w:gridCol w:w="109"/>
        <w:gridCol w:w="308"/>
        <w:gridCol w:w="308"/>
        <w:gridCol w:w="636"/>
      </w:tblGrid>
      <w:tr>
        <w:trPr/>
        <w:tc>
          <w:tcPr>
            <w:tcW w:w="100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advisory and services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Wealth: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and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broker-dealer related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1,171,004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1,088,907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82,097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w:t>
            </w: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2,372,730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2,169,514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203,216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w:t>
            </w:r>
            <w:r>
              <w:rPr>
                <w:color w:val="000000"/>
              </w:rPr>
              <w:t>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100" w:after="283"/>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Investment Advisory and Services Fees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Investment advisory and services fees are the largest component of our revenues. These fees generally are calculated as a percentage of the value of AUM as of a specified date, or as a percentage of the value of average AUM for the applicable billing period, and vary with the type of investment service, the size of account and the total amount of assets we manage for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particular client. Accordingly, fee income generally increases or decreases as AUM increase or decrease and is affected by market appreciation or depreciation, the addition of new client accounts or client contributions of additional assets to existing accounts, withdrawals of assets from and termination of client accounts, purchases and redemptions of mutual fund shares, shifts of assets between accounts or products with different fee structures, and acquisitions. Our average basis points realized (investment advisory and services fees divided by average AUM) generally approximate 30 to 105 basis points for actively managed equity services, 10 to 65 basis points for actively-managed fixed income services and 1 to 50 basis points for passively managed services. Average basis points realized for other services could range from 3 basis points for certain Institutional third party managed services to over 190 basis points for certain Private Wealth Management alternative services. These ranges include all-inclusive fee arrangements (covering investment management, trade execution and other services) for our Private Wealth Management clients.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calculate AUM using established market-based valuation methods and fair valuation (non-observable market) methods. Market-based valuation methods include: last sale/settle prices from an exchange for actively-traded listed equities, options and futures; evaluated bid prices from recognized pricing vendors for fixed income, asset-backed or mortgage-backed issues; mid prices from recognized pricing vendors and brokers for credit default swaps; and quoted bids or spreads from pricing vendors and brokers for other derivative products. Fair valuation methods include: discounted cash flow models or any other methodology that is validated and approved by our Valuation Committee and sub-committee (the "Valuation Committee") (see paragraph immediately below for more information regarding our Valuation Committee). Fair valuation methods are used only where AUM cannot be valued using market-based valuation methods, such as in the case of private equity or illiquid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Valuation Committee consisting of senior officers and employees, oversees a consistent framework of pricing and valuation of all investments held in client and AB portfolios. The Valuation Committee has adopted a Statement of Pricing Policies describing principles and policies that apply to pricing and valuing investments held in these portfolios. We also have a Pricing Group, which is overseen by the Valuation Committee and is responsible for managing the pricing process for all investments.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sometimes charge our clients performance-based fees. In these situations, we charge a base advisory fee and are eligible to earn an additional performance-based fee or incentive allocation that is calculated as either a percentage of absolute investment results or a percentage of investment results in excess of a stated benchmark over a specified period of time. Some performance-based fees include a high-watermark provision, which generally provides that if a client account underperforms relative to its performance target (whether absolute or relative to a specified benchmark), it must gain back such underperformance before we can collect future performance-based fees. Therefore, if we fail to achieve our performance target for a particular period, we will not earn a performance-based fee for that period and, for accounts with a high-watermark provision, our ability to earn future performance-based fees will be impaired. We are eligible to earn performance-based fees on 7.0%, 5.9% and 0.4% of the assets we manage for private wealth clients, institutional clients and retail clients, respectively (in total, 3.9% of our AUM).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our investment advisory and services fees increased by $63.0 million, or 7.5%, from the three months ended June 30, 2025, due to a $55.0 million, or 6.8%, increase in base fees and a $8.0 million, or 20.7%, increase in performance-based fees. The increase in base fees is primarily due to an 10.2% increase in average AUM, partially offset by a decrease in portfolio fee rate. Performance-based fees increased primarily due to higher performance fees earned on our Credit Value and Select Absolute Alpha, partially offset by lower performance fees earned on our Private Credit.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our investment advisory and services fees increased by $123.1 million, or 7.2%, from the six months ended June 30, 2025, due to a $86.3 million, or 5.3%, increase in base fees and a $36.8 million, or 48.4%, increase in performance-based fees. The increase in base fees is primarily due to an 9.7% increase in average AUM, partially offset by a decrease in portfolio fee rate. Performance-based fees increased primarily due to higher performance fees earned on our Credit Value and Select Absolute Alpha, partially offset by lower performance fees earned on our Private Credit.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Institutional base fees for the three months ended June 30, 2026 increased by $8.5 million, or 5.6%, from the three months ended June 30, 2025, primarily due to a 10.4% increase in average AUM, partially offset by a decrease in portfolio fee rate. Retail base fees for the three months ended June 30, 2026 increased by $10.2 million, or 2.6%, from the three months ended June 30, 2025, primarily due to a 7.2% increase in average AUM, partially offset by a decrease in portfolio fee rate. Private Wealth base fees for the three months ended June 30, 2026 increased $36.4 million, or 13.5%, from the three months ended June 30, 2025, primarily due to a 17.0% increase in average AUM, partially offset by a decrease in portfolio fee 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Institutional base fees for the six months ended June 30, 2026 increased by $12.4 million, or 4.1%, from the six months ended June 30, 2025, primarily due to a 10.2% increase in average AUM, partially offset by a decrease in portfolio fee rate. Retail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 fees for the six months ended June 30, 2026 increased by $12.1 million, or 1.6%, from the six months ended June 30, 2025, primarily due to a 6.5% increase in average AUM, partially offset by a decrease in portfolio fee rate. Private Wealth base fees for the six months ended June 30, 2026 increased $61.8 million, or 11.4%, from the six months ended June 30, 2025, primarily due to a 16.1% increase in average AUM, partially offset by a decrease in portfolio fee 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Distribution Revenues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Two of our subsidiaries act as distributors and/or placement agents of company-sponsored mutual funds and receive distribution services fees from certain of those funds as full or partial reimbursement of the distribution expenses they incur. Period-over-period fluctuations of distribution revenues typically are in line with fluctuations of the corresponding average AUM of these mutual funds.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Distribution revenues for the three months ended June 30, 2026 increased $2.6 million, or 1.3%, compared to the three months ended June 30, 2025, primarily due to the corresponding average AUM of these mutual funds increasing 6.6%, partially offset by a shift in product mix to mutual funds which have lower distribution rates. Distribution revenues for the six months ended June 30, 2026 increased $6.4 million, or 1.6%, compared to the six months ended June 30, 2025, primarily due to the corresponding average AUM of these mutual funds increasing 5.7%, partially offset by a shift in product mix to mutual funds which have lower distribution rates.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Dividend and Interest Income and Broker-Dealer Related Interest Expense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Dividend and interest income consists primarily of investment income and interest earned on customer margin balances and U.S. Treasury Bills as well as dividend and interest income in our consolidated company-sponsored investment funds. Broker-dealer related interest expense principally reflects interest accrued on cash balances in customers’ brokerage accounts.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dividend and interest income decreased $6.9 million, or 19.2%, compared to the three months ended June 30, 2025, primarily due to lower interest earned on customer margin accounts and U.S. Treasury Bills. For the six months ended June 30, 2026, dividend and interest income decreased $10.8 million, or 15.3%, compared to the six months ended June 30, 2025, primarily due to lower interest earned on customer margin accounts and U.S. Treasury Bills.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Broker-dealer related interest expense for the three months ended June 30, 2026 decreased $3.2 million, or 20.1%, compared to the three months ended June 30, 2025, primarily due to lower interest paid on cash balances in customers' brokerage accounts, as a result of lower interest rates and lower cash balances in client accounts. Broker-dealer related interest expense for the six months ended June 30, 2026 decreased $7.7 million, or 23.1%, compared to the six months ended June 30, 2025, primarily due to lower interest paid on cash balances in customers' brokerage accounts, as a result of lower interest rates and lower cash balances in client accounts.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Investment Gains (Losses)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 gains (losses) consist primarily of realized and unrealized investment gains or losses on: (i) employee long-term incentive compensation-related investments, (ii) U.S. Treasury Bills, (iii) seed capital investments, (iv) derivatives and (v) investments in our consolidated company-sponsored investment funds. Investment gains (losses) also include equity in earnings of proprietary investments in limited partnership hedge funds that we sponsor and manage and equity gains (losses) related to our equity investments in the JV.</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gains (losses) are as follows:</w:t>
      </w:r>
    </w:p>
    <w:tbl>
      <w:tblPr>
        <w:tblW w:w="10205" w:type="dxa"/>
        <w:jc w:val="left"/>
        <w:tblInd w:w="0" w:type="dxa"/>
        <w:tblLayout w:type="fixed"/>
        <w:tblCellMar>
          <w:top w:w="28" w:type="dxa"/>
          <w:left w:w="28" w:type="dxa"/>
          <w:bottom w:w="28" w:type="dxa"/>
          <w:right w:w="28" w:type="dxa"/>
        </w:tblCellMar>
      </w:tblPr>
      <w:tblGrid>
        <w:gridCol w:w="1638"/>
        <w:gridCol w:w="1438"/>
        <w:gridCol w:w="1443"/>
        <w:gridCol w:w="109"/>
        <w:gridCol w:w="109"/>
        <w:gridCol w:w="109"/>
        <w:gridCol w:w="223"/>
        <w:gridCol w:w="779"/>
        <w:gridCol w:w="115"/>
        <w:gridCol w:w="115"/>
        <w:gridCol w:w="115"/>
        <w:gridCol w:w="115"/>
        <w:gridCol w:w="223"/>
        <w:gridCol w:w="708"/>
        <w:gridCol w:w="115"/>
        <w:gridCol w:w="109"/>
        <w:gridCol w:w="109"/>
        <w:gridCol w:w="109"/>
        <w:gridCol w:w="211"/>
        <w:gridCol w:w="736"/>
        <w:gridCol w:w="109"/>
        <w:gridCol w:w="109"/>
        <w:gridCol w:w="109"/>
        <w:gridCol w:w="109"/>
        <w:gridCol w:w="211"/>
        <w:gridCol w:w="772"/>
        <w:gridCol w:w="158"/>
      </w:tblGrid>
      <w:tr>
        <w:trPr/>
        <w:tc>
          <w:tcPr>
            <w:tcW w:w="163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4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incentive compensation-related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Realized gains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1" w:name="i96424847a6b444bd866819bd15dce960_4-6-1-"/>
            <w:bookmarkEnd w:id="1"/>
            <w:r>
              <w:rPr>
                <w:rFonts w:ascii="Times New Roman;serif" w:hAnsi="Times New Roman;serif"/>
                <w:b w:val="false"/>
                <w:color w:val="000000"/>
                <w:sz w:val="20"/>
              </w:rPr>
              <w:t>11,576 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Investments held by consolidated company-sponsored investment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Realized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Seed capital and 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Seed capital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Seed capital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Brokerage-related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 (loss) on JV</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other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13,505</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(7,825)</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(28,363)</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18"/>
        </w:rPr>
        <w:t>During the first quarter of 2026, we recognized a gain of $48.4 million related to the exercise of the AB option a</w:t>
      </w:r>
      <w:r>
        <w:rPr>
          <w:rFonts w:ascii="Times New Roman;serif" w:hAnsi="Times New Roman;serif"/>
          <w:b w:val="false"/>
          <w:i/>
          <w:color w:val="000000"/>
          <w:sz w:val="18"/>
        </w:rPr>
        <w:t>s discussed above under Joint Venture with Societe Generale in this Item 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Revenues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revenues consist of fees earned for transfer agency services provided to company-sponsored mutual funds, fees earned for administration and recordkeeping services provided to company-sponsored mutual funds and the General Accounts of EQH and its subsidiaries, and other miscellaneous revenues. Other revenues for the three months ended June 30, 2026 decreased $1.0 million, or 2.9%, compared to the three months ended June 30, 2025, primarily due to lower JV-related revenue reimbursements, partially offset by higher shareholder servicing fees. Other revenues for the six months ended June 30, 2026 increased $4.0 million, or 6.3%, compared to the six months ended June 30, 2025, primarily due to higher shareholder servicing fees, partially offset by lower JV related revenue reimbursements.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Expenses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expenses are as follows:</w:t>
      </w:r>
    </w:p>
    <w:tbl>
      <w:tblPr>
        <w:tblW w:w="13637" w:type="dxa"/>
        <w:jc w:val="left"/>
        <w:tblInd w:w="0" w:type="dxa"/>
        <w:tblLayout w:type="fixed"/>
        <w:tblCellMar>
          <w:top w:w="28" w:type="dxa"/>
          <w:left w:w="28" w:type="dxa"/>
          <w:bottom w:w="28" w:type="dxa"/>
          <w:right w:w="28" w:type="dxa"/>
        </w:tblCellMar>
      </w:tblPr>
      <w:tblGrid>
        <w:gridCol w:w="922"/>
        <w:gridCol w:w="401"/>
        <w:gridCol w:w="403"/>
        <w:gridCol w:w="109"/>
        <w:gridCol w:w="109"/>
        <w:gridCol w:w="109"/>
        <w:gridCol w:w="211"/>
        <w:gridCol w:w="841"/>
        <w:gridCol w:w="109"/>
        <w:gridCol w:w="109"/>
        <w:gridCol w:w="109"/>
        <w:gridCol w:w="109"/>
        <w:gridCol w:w="211"/>
        <w:gridCol w:w="841"/>
        <w:gridCol w:w="109"/>
        <w:gridCol w:w="109"/>
        <w:gridCol w:w="109"/>
        <w:gridCol w:w="109"/>
        <w:gridCol w:w="211"/>
        <w:gridCol w:w="736"/>
        <w:gridCol w:w="109"/>
        <w:gridCol w:w="109"/>
        <w:gridCol w:w="109"/>
        <w:gridCol w:w="109"/>
        <w:gridCol w:w="263"/>
        <w:gridCol w:w="263"/>
        <w:gridCol w:w="551"/>
        <w:gridCol w:w="109"/>
        <w:gridCol w:w="109"/>
        <w:gridCol w:w="109"/>
        <w:gridCol w:w="211"/>
        <w:gridCol w:w="991"/>
        <w:gridCol w:w="109"/>
        <w:gridCol w:w="109"/>
        <w:gridCol w:w="109"/>
        <w:gridCol w:w="109"/>
        <w:gridCol w:w="211"/>
        <w:gridCol w:w="991"/>
        <w:gridCol w:w="109"/>
        <w:gridCol w:w="109"/>
        <w:gridCol w:w="109"/>
        <w:gridCol w:w="109"/>
        <w:gridCol w:w="211"/>
        <w:gridCol w:w="736"/>
        <w:gridCol w:w="109"/>
        <w:gridCol w:w="109"/>
        <w:gridCol w:w="109"/>
        <w:gridCol w:w="109"/>
        <w:gridCol w:w="262"/>
        <w:gridCol w:w="264"/>
        <w:gridCol w:w="636"/>
      </w:tblGrid>
      <w:tr>
        <w:trPr/>
        <w:tc>
          <w:tcPr>
            <w:tcW w:w="92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Promotion and servicing: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Distribution-related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sales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execution, marketing, T&amp;E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881,852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866,813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15,039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1,756,778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1,711,051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45,727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Employee Compensation and Benefits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Employee compensation and benefits expense consists of base compensation (including salaries and severance), annual short-term incentive compensation awards (cash bonuses), annual long-term incentive compensation awards, commissions, fringe benefits and other employment costs (including recruitment, training, temporary help and meals).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Compensation expense as a percentage of net revenues was 40.2% and 40.4% for the three months ended June 30, 2026 and 2025, respectively. Compensation expense as a percentage of net revenues was 39.6% for both the six months ended June 30, 2026 and 2025. Compensation expense generally is determined on a discretionary basis and is primarily a function of our firm’s current-year financial performance. The amounts of incentive compensation we award are designed to motivate, reward and retain top talent while aligning our executives' interests with the interests of our Unitholders. Senior management, with the Compensation and Workplace Practices Committee of the Board of Directors of AllianceBernstein Corporation (“Compensation Committee”), continue to believe that the appropriate metric to consider in determining the amount of incentive compensation is the ratio of adjusted employee compensation and benefits expense to adjusted net revenues. Adjusted net revenues used in the adjusted compensation ratio are the same as the adjusted net revenues presented as a non-GAAP measure (</w:t>
      </w:r>
      <w:r>
        <w:rPr>
          <w:rFonts w:ascii="Times New Roman;serif" w:hAnsi="Times New Roman;serif"/>
          <w:b w:val="false"/>
          <w:i/>
          <w:color w:val="000000"/>
          <w:sz w:val="20"/>
        </w:rPr>
        <w:t>discussed earlier in this Item 2</w:t>
      </w:r>
      <w:r>
        <w:rPr>
          <w:rFonts w:ascii="Times New Roman;serif" w:hAnsi="Times New Roman;serif"/>
          <w:b w:val="false"/>
          <w:color w:val="000000"/>
          <w:sz w:val="20"/>
        </w:rPr>
        <w:t xml:space="preserve">). Adjusted employee compensation and benefits expense is total employee compensation and benefits expense minus other employment costs such as recruitment, training, temporary help and meals (which was 1.2% and 1.1% of adjusted net revenues for the three months ended June 30, 2026 and June 30, 2025, and 1.1% and 1.0% of adjusted net revenues for the six months ended June 30, 2026 and June 30, 2025, respectively), and excludes the impact of mark-to-market vesting expense, as well as dividends and interest expense, associated with employee incentive compensation-related investments and the amortization expense associated with the awards issued by EQH to some of our firm's executive officers relating to their roles as members of the EQH Management Committee. Senior management, with the approval of the Compensation Committee, has established as an objective that adjusted employee compensation and benefits expense, excluding the impact of performance-based fees, generally should not exceed 50.0% of our adjusted net revenues in any year, except in unexpected or unusual circumstances. Our ratio of adjusted compensation expense as a percentage of adjusted net revenues was 48.5% for the three and six months ended June 30, 2026 and June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employee compensation and benefits expense increased $31.6 million, or 7.2%, compared to the three months ended June 30, 2025, primarily due to higher incentive compensation of $19.3 million, higher commissions of $9.3 million and higher base compensation of $2.4 million. For the six months ended June 30, 2026, employee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compensation and benefits expense increased $78.6 million, or 9.1%, compared to the six months ended June 30, 2025, due to higher incentive compensation of $39.5 million, higher commissions of $22.1 million, higher base compensation of $7.7 million, higher fringe benefits of $6.5 million and higher other employment costs of $2.7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Promotion and Servicing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Promotion and servicing expenses include distribution-related payments to financial intermediaries for distribution of AB mutual funds and amortization of deferred sales commissions paid to financial intermediaries for the sale of back-end load shares of AB mutual funds. Also included in this expense category are costs related to trade execution and clearance, travel and entertainment, advertising and promotional materials.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Promotion and servicing expenses decreased $2.2 million, or 0.8%, during the three months ended June 30, 2026 compared to the three months ended June 30, 2025. The slight decrease was primarily due to lower distribution-related payments of $3.4 million, partially offset by higher transfer fees of $0.5 million and higher marketing and communication expense of $0.4 million. Promotion and servicing expenses decreased $0.9 million, or 0.2%, during the six months ended June 30, 2026 compared to the six months ended June 30, 2025. The decrease was primarily due to lower distribution-related payments of $7.5 million, partially offset by higher marketing and communication expense of $3.6 million and higher travel and entertainment expenses of $2.8 million.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General and Administrative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include portfolio services expenses, technology expenses, professional fees and office-related expenses (occupancy, communications and similar expenses). General and administrative expenses as a percentage of net revenues were 11.5% and 13.6% for the three months ended June 30, 2026 and 2025, respectively. General and administrative expenses as a percentage of net revenues were 11.2% and 13.6% for the six months ended June 30, 2026 and 2025,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$12.9 million, or 8.7%, during the three months ended June 30, 2026 compared to the three months ended June 30, 2025, primarily due to a $14.3 million AB Funds reimbursement expense related to a disputed billing practice of a third-party service provider in the prior year quarter, a favorable foreign exchange impact of $5.2 million and lower portfolio services and related expenses of $2.8 million, partially offset by higher technology and related expenses of $4.5 million and office-related expenses of $2.0 million. General and administrative expenses decreased $30.4 million, or 10.3%, during the six months ended June 30, 2026 compared to the six months ended June 30, 2025, primarily due to a retirement plan settlement loss of $20.8 million in 2025, a $14.3 million AB Funds reimbursement expense related to a disputed billing practice of a third-party service provider in 2025, a favorable foreign exchange impact of $5.6 million and lower portfolio services and related expenses of $2.9 million, partially offset by higher technology and related expenses of $6.4 million, higher office-related expenses of $4.6 million and higher professional fees of $2.6 million.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Interest on Borrowings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Interest on borrowings reflects interest expense related to our debt and credit facilities. </w:t>
      </w:r>
      <w:r>
        <w:rPr>
          <w:rFonts w:ascii="Times New Roman;serif" w:hAnsi="Times New Roman;serif"/>
          <w:b w:val="false"/>
          <w:i/>
          <w:color w:val="000000"/>
          <w:sz w:val="20"/>
        </w:rPr>
        <w:t>See Note 16 to AB's condensed consolidated financial statements contained in Item 1</w:t>
      </w:r>
      <w:r>
        <w:rPr>
          <w:rFonts w:ascii="Times New Roman;serif" w:hAnsi="Times New Roman;serif"/>
          <w:b w:val="false"/>
          <w:color w:val="000000"/>
          <w:sz w:val="20"/>
        </w:rPr>
        <w:t>, for disclosures relating to our debt and credit facilities. For the three months ended June 30, 2026 interest on borrowings decreased $1.4 million, or 16.1%, compared to the three months ended June 30, 2025. The decrease was primarily due to lower weighted average interest rates and lower weighted average borrowings. For the six months ended June 30, 2026 interest on borrowings decreased $1.3 million, or 8.3%, compared to the six months ended June 30, 2025. The decrease was primarily due to lower weighted average interest rates, partially offset by higher weighted average borrowings.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Amortization of Intangible Assets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of intangible assets reflects our amortization of costs assigned to acquired investment management contracts with a finite life. These assets are recognized at fair value and generally are amortized on a straight-line basis over their estimated useful life. Amortization of intangible assets decreased $0.1 million during the three months ended June 30, 2026 compared to the three months ended June 30, 2025. Amortization of intangible assets decreased $0.2 million during the six months ended June 30, 2026 compared to the six months ended June 30,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a private limited partnership, is not subject to federal or state corporate income taxes. However, AB is subject to a 4.0% New York City unincorporated business tax (“UBT”). Our domestic corporate subsidiaries are subject to federal, state and local income taxes and generally are included in the filing of a consolidated federal income tax return. Separate state and local income tax returns also are filed. Foreign corporate subsidiaries generally are subject to taxes in the jurisdictions where they are located.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for the three months ended June 30, 2026 increased $2.0 million, or 13.3%, compared to the three months ended June 30, 2025. The increase was primarily due to higher pre-tax income. Income tax expense for the six months ended June 30, 2026 increased $5.5 million, or 18.5%, compared to the six months ended June 30, 2025. The increase was primarily due to higher pre-tax income. There were no material changes to uncertain tax positions (FIN 48 reserves) or valuation allowances against deferred tax assets for the three and six months ended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Income (Loss) of Consolidated Entities Attributable to Non-Controlling Interests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(loss) of consolidated entities attributable to non-controlling interests primarily consists of limited partner interests owned by other investors in our consolidated company-sponsored investment funds and certain other investments. For the three months ended June 30, 2026, we had $17.1 million of net income of consolidated entities attributable to non-controlling interests compared to net losses of $3.2 million for the three months ended June 30, 2025. The increase is driven by higher net income of a consolidated investment attributable to limited partnership interest owned by non-controlling investors. For the six months ended June 30, 2026, we had $30.3 million of net income of consolidated entities attributable to non-controlling interests compared to net losses of $2.3 million for the six months ended June 30, 2025. The increase is driven by higher net income of a consolidated investment attributable to limited partnership interest owned by non-controlling investors.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CAPITAL RESOURCES AND LIQUIDITY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flows from operating activities primarily include the receipt of investment advisory and services fees and other revenues offset by the payment of operating expenses incurred in the normal course of business. Our cash flows from operating activities have historically been positive and sufficient in supporting our operations. We do not anticipate this to change in the foreseeable future. Cash flows from investing activities generally consist of small capital expenditures and, when applicable, business acquisitions. Cash flows from financing activities primarily consist of issuance and repayment of debt and the repurchase of AB Holding Units for our long-term deferred compensation plans. We are required to distribute all of our Available Cash Flow to our Unitholders and the General Partner.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six months of 2026, net cash provided by operating activities was $950.1 million compared to net cash provided by operating activities of $489.8 million during the corresponding 2025 period. The increase is primarily due to a decrease in net broker dealer assets of $230.6 million, the net activity of our consolidated company-sponsored investment funds of $188.3 million, a decrease in investments of $135.3 million and an increase in net income of $88.4 million (net of non cash adjustments), partially offset by a decrease in accounts payable and accrued liabilities of $92.7 million and an increase in fees receivable of $74.6 million.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six months of 2026, net cash used in investing activities was $21.0 million, compared to net cash used in investing activities of $18.2 million during the corresponding 2025 period. The change is due to higher purchases of furniture, equipment and leasehold improvements of $2.8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six months of 2026, net cash used in financing activities was $818.2 million, compared to net cash used in financing activities of $491.7 million during the corresponding 2025 period. The change is primarily due to a decrease in third-party capital invested into consolidated company-sponsored investment funds, net of $194.0 million and an increase in debt repayments of $170.0 million, partially offset by lower cash distributions to Unitholders of $19.8 million and a decrease in purchases of AB Holding Units to fund long term incentive compensation of $15.9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AB had $896.5 million of cash and cash equivalents (excluding cash and cash equivalents of consolidated company-sponsored investment funds), all of which is available for liquidity but consists primarily of cash on deposit for our broker-dealers related to various customer clearing activities, and cash held by foreign subsidiaries of $375.4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See Note 16 to AB’s condensed consolidated financial statements contained in Item 1,</w:t>
      </w:r>
      <w:r>
        <w:rPr>
          <w:color w:val="000000"/>
        </w:rPr>
        <w:t xml:space="preserve"> </w:t>
      </w:r>
      <w:r>
        <w:rPr>
          <w:rFonts w:ascii="Times New Roman;serif" w:hAnsi="Times New Roman;serif"/>
          <w:b w:val="false"/>
          <w:color w:val="000000"/>
          <w:sz w:val="20"/>
        </w:rPr>
        <w:t>for disclosures relating to our debt and credit facilities. We use our debt and credit facilities to seed certain new investment products which may expose us to market risk, credit risk and material gains and losses. To reduce our exposure, we enter into various futures, forwards, options and swaps primarily to economically hedge certain of our seed money investments. While in most cases broad market risks are hedged and are effective in reducing our exposure, our hedges are imperfect and we may remain exposed to some market risk and credit-related losses in the event of non-performance by counterparties on these derivative instruments.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Our financial condition and access to public and private debt markets should provide adequate liquidity for our general business needs. Management believes that cash flow from operations and the issuance of debt and AB Units or AB Holding Units will provide us with the resources we need to meet our financial obligations. See “</w:t>
      </w:r>
      <w:r>
        <w:rPr>
          <w:rFonts w:ascii="Times New Roman;serif" w:hAnsi="Times New Roman;serif"/>
          <w:b w:val="false"/>
          <w:i/>
          <w:color w:val="000000"/>
          <w:sz w:val="20"/>
        </w:rPr>
        <w:t>Cautions Regarding Forward-Looking Statements</w:t>
      </w:r>
      <w:r>
        <w:rPr>
          <w:color w:val="000000"/>
        </w:rPr>
        <w:t xml:space="preserve">” </w:t>
      </w:r>
      <w:r>
        <w:rPr>
          <w:rFonts w:ascii="Times New Roman;serif" w:hAnsi="Times New Roman;serif"/>
          <w:b w:val="false"/>
          <w:color w:val="000000"/>
          <w:sz w:val="20"/>
        </w:rPr>
        <w:t>for a discussion of credit markets and our ability to renew our credit facilities at expiration.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COMMITMENTS AND CONTINGENCIES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AB’s capital commitments, which consist primarily of operating leases for office space, generally are funded from future operating cash flows. </w:t>
      </w:r>
      <w:r>
        <w:rPr>
          <w:rFonts w:ascii="Times New Roman;serif" w:hAnsi="Times New Roman;serif"/>
          <w:b w:val="false"/>
          <w:i/>
          <w:color w:val="000000"/>
          <w:sz w:val="20"/>
        </w:rPr>
        <w:t>See Note 13</w:t>
      </w:r>
      <w:r>
        <w:rPr>
          <w:color w:val="000000"/>
        </w:rPr>
        <w:t xml:space="preserve"> </w:t>
      </w:r>
      <w:r>
        <w:rPr>
          <w:rFonts w:ascii="Times New Roman;serif" w:hAnsi="Times New Roman;serif"/>
          <w:b w:val="false"/>
          <w:color w:val="000000"/>
          <w:sz w:val="20"/>
        </w:rPr>
        <w:t>for discussion of lease commitments.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See Note 12</w:t>
      </w:r>
      <w:r>
        <w:rPr>
          <w:color w:val="000000"/>
        </w:rPr>
        <w:t xml:space="preserve"> </w:t>
      </w:r>
      <w:r>
        <w:rPr>
          <w:rFonts w:ascii="Times New Roman;serif" w:hAnsi="Times New Roman;serif"/>
          <w:b w:val="false"/>
          <w:color w:val="000000"/>
          <w:sz w:val="20"/>
        </w:rPr>
        <w:t>for discussion of commitments and contingencies</w:t>
      </w:r>
      <w:r>
        <w:rPr>
          <w:rFonts w:ascii="Times New Roman;serif" w:hAnsi="Times New Roman;serif"/>
          <w:b w:val="false"/>
          <w:i/>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and notes to condensed consolidated financial statements requires management to make estimates and judgments that affect the reported amounts of assets, liabilities, revenues and expenses.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There have been no updates to our critical accounting estimates during the second quarter of 2026 from those disclosed in </w:t>
      </w:r>
      <w:r>
        <w:rPr>
          <w:color w:val="000000"/>
        </w:rPr>
        <w:t>“</w:t>
      </w:r>
      <w:r>
        <w:rPr>
          <w:rFonts w:ascii="Times New Roman;serif" w:hAnsi="Times New Roman;serif"/>
          <w:b w:val="false"/>
          <w:i/>
          <w:color w:val="000000"/>
          <w:sz w:val="20"/>
        </w:rPr>
        <w:t>Management’s Discussion and Analysis of Financial Condition”</w:t>
      </w:r>
      <w:r>
        <w:rPr>
          <w:color w:val="000000"/>
        </w:rPr>
        <w:t xml:space="preserve"> </w:t>
      </w:r>
      <w:r>
        <w:rPr>
          <w:rFonts w:ascii="Times New Roman;serif" w:hAnsi="Times New Roman;serif"/>
          <w:b w:val="false"/>
          <w:color w:val="000000"/>
          <w:sz w:val="20"/>
        </w:rPr>
        <w:t>in our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ACCOUNTING PRONOUNCEMENTS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See Note 2 to AB’s condensed consolidated financial statements contained in Item 1</w:t>
      </w:r>
      <w:r>
        <w:rPr>
          <w:rFonts w:ascii="Times New Roman;serif" w:hAnsi="Times New Roman;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CAUTIONS REGARDING FORWARD-LOOKING STATEMENTS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Certain statements provided by management in this report and in the portion of AB’s Form 10-Q attached hereto as </w:t>
      </w:r>
      <w:r>
        <w:rPr>
          <w:rFonts w:ascii="Times New Roman;serif" w:hAnsi="Times New Roman;serif"/>
          <w:b w:val="false"/>
          <w:i/>
          <w:color w:val="000000"/>
          <w:sz w:val="20"/>
        </w:rPr>
        <w:t>Exhibit 99.1</w:t>
      </w:r>
      <w:r>
        <w:rPr>
          <w:color w:val="000000"/>
        </w:rPr>
        <w:t xml:space="preserve"> </w:t>
      </w:r>
      <w:r>
        <w:rPr>
          <w:rFonts w:ascii="Times New Roman;serif" w:hAnsi="Times New Roman;serif"/>
          <w:b w:val="false"/>
          <w:color w:val="000000"/>
          <w:sz w:val="20"/>
        </w:rPr>
        <w:t>are “forward-looking statements” within the meaning of the Private Securities Litigation Reform Act of 1995. Such forward-looking statements are subject to risks, uncertainties and other factors that could cause actual results to differ materially from future results expressed or implied by such forward-looking statements. The most significant of these factors include, but are not limited to, the following: the performance of financial markets, the investment performance of sponsored investment products and separately managed accounts, general economic conditions, the impact of tariffs and potential disruptions in international trade on financial markets, product and account performance, asset levels and economic conditions, industry trends, future acquisitions, integration of acquired companies, competitive conditions and government regulations, including changes in tax regulations and rates and the manner in which the earnings of publicly-traded partnerships are taxed. We caution readers to carefully consider such factors. Further, these forward-looking statements speak only as of the date on which such statements are made; we undertake no obligation to update any forward-looking statements to reflect events or circumstances after the date of such statements. For further information regarding these forward-looking statements and the factors that could cause actual results to differ,</w:t>
      </w:r>
      <w:r>
        <w:rPr>
          <w:color w:val="000000"/>
        </w:rPr>
        <w:t> </w:t>
      </w:r>
      <w:r>
        <w:rPr>
          <w:rFonts w:ascii="Times New Roman;serif" w:hAnsi="Times New Roman;serif"/>
          <w:b w:val="false"/>
          <w:i/>
          <w:color w:val="000000"/>
          <w:sz w:val="20"/>
        </w:rPr>
        <w:t>see “Risk Factors” in Part I, Item 1A</w:t>
      </w:r>
      <w:r>
        <w:rPr>
          <w:color w:val="000000"/>
        </w:rPr>
        <w:t xml:space="preserve"> </w:t>
      </w:r>
      <w:r>
        <w:rPr>
          <w:rFonts w:ascii="Times New Roman;serif" w:hAnsi="Times New Roman;serif"/>
          <w:b w:val="false"/>
          <w:color w:val="000000"/>
          <w:sz w:val="20"/>
        </w:rPr>
        <w:t xml:space="preserve">of our Form 10-K for the year ended December 31, 2025 </w:t>
      </w:r>
      <w:r>
        <w:rPr>
          <w:rFonts w:ascii="Times New Roman;serif" w:hAnsi="Times New Roman;serif"/>
          <w:b w:val="false"/>
          <w:i/>
          <w:color w:val="000000"/>
          <w:sz w:val="20"/>
        </w:rPr>
        <w:t>and Part II, Item 1A</w:t>
      </w:r>
      <w:r>
        <w:rPr>
          <w:color w:val="000000"/>
        </w:rPr>
        <w:t> </w:t>
      </w:r>
      <w:r>
        <w:rPr>
          <w:rFonts w:ascii="Times New Roman;serif" w:hAnsi="Times New Roman;serif"/>
          <w:b w:val="false"/>
          <w:color w:val="000000"/>
          <w:sz w:val="20"/>
        </w:rPr>
        <w:t xml:space="preserve">in this Form 10-Q. Any or all of the forward-looking statements that we make in our Form 10-K, this Form 10-Q, other documents we file with or furnish to the SEC, and any other public statements we issue, may turn out to be wrong. It is important to remember that other factors besides </w:t>
      </w:r>
      <w:r>
        <w:rPr>
          <w:rFonts w:ascii="Times New Roman;serif" w:hAnsi="Times New Roman;serif"/>
          <w:b w:val="false"/>
          <w:i/>
          <w:color w:val="000000"/>
          <w:sz w:val="20"/>
        </w:rPr>
        <w:t>those listed in “Risk Factors” and those listed below</w:t>
      </w:r>
      <w:r>
        <w:rPr>
          <w:color w:val="000000"/>
        </w:rPr>
        <w:t xml:space="preserve"> </w:t>
      </w:r>
      <w:r>
        <w:rPr>
          <w:rFonts w:ascii="Times New Roman;serif" w:hAnsi="Times New Roman;serif"/>
          <w:b w:val="false"/>
          <w:color w:val="000000"/>
          <w:sz w:val="20"/>
        </w:rPr>
        <w:t>could also adversely impact our revenues, financial condition, results of operations and business prospects.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forward-looking statements referred to in </w:t>
      </w:r>
      <w:r>
        <w:rPr>
          <w:rFonts w:ascii="Times New Roman;serif" w:hAnsi="Times New Roman;serif"/>
          <w:b w:val="false"/>
          <w:i/>
          <w:color w:val="000000"/>
          <w:sz w:val="20"/>
        </w:rPr>
        <w:t>the preceding paragraph</w:t>
      </w:r>
      <w:r>
        <w:rPr>
          <w:rFonts w:ascii="Times New Roman;serif" w:hAnsi="Times New Roman;serif"/>
          <w:b w:val="false"/>
          <w:color w:val="000000"/>
          <w:sz w:val="20"/>
        </w:rPr>
        <w:t>, most of which directly affect AB and may also affect AB Holding because AB Holding’s principal source of income and cash flow is attributable to its investment in AB, include statements regarding:</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u w:val="single"/>
        </w:rPr>
        <w:t>Our belief that the cash flow AB Holding realizes from its investment in AB will provide AB Holding with the resources it needs to meet its financial obligations:</w:t>
      </w:r>
      <w:r>
        <w:rPr>
          <w:color w:val="000000"/>
        </w:rPr>
        <w:t xml:space="preserve"> </w:t>
      </w:r>
      <w:r>
        <w:rPr>
          <w:rFonts w:ascii="Times New Roman;serif" w:hAnsi="Times New Roman;serif"/>
          <w:b w:val="false"/>
          <w:color w:val="000000"/>
          <w:sz w:val="20"/>
        </w:rPr>
        <w:t xml:space="preserve">AB Holding’s cash flow is dependent on the quarterly cash distributions it receives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AB. Accordingly, AB Holding’s ability to meet its financial obligations is dependent on AB’s cash flow from its operations, which is subject to the performance of the capital markets and other factors beyond our control.</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u w:val="single"/>
        </w:rPr>
        <w:t>Our financial condition and ability to access the public and private capital markets providing adequate liquidity for our general business needs:</w:t>
      </w:r>
      <w:r>
        <w:rPr>
          <w:color w:val="000000"/>
        </w:rPr>
        <w:t xml:space="preserve"> </w:t>
      </w:r>
      <w:r>
        <w:rPr>
          <w:rFonts w:ascii="Times New Roman;serif" w:hAnsi="Times New Roman;serif"/>
          <w:b w:val="false"/>
          <w:color w:val="000000"/>
          <w:sz w:val="20"/>
        </w:rPr>
        <w:t>Our financial condition is dependent on our cash flow from operations, which is subject to the performance of the capital markets, our ability to maintain and grow client assets under management and other factors beyond our control. Our ability to access public and private capital markets on reasonable terms may be limited by adverse market conditions, our firm’s credit ratings, our profitability and changes in government regulations, including tax rates and interest rates.</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u w:val="single"/>
        </w:rPr>
        <w:t>The outcome of litigation:</w:t>
      </w:r>
      <w:r>
        <w:rPr>
          <w:color w:val="000000"/>
        </w:rPr>
        <w:t xml:space="preserve"> </w:t>
      </w:r>
      <w:r>
        <w:rPr>
          <w:rFonts w:ascii="Times New Roman;serif" w:hAnsi="Times New Roman;serif"/>
          <w:b w:val="false"/>
          <w:color w:val="000000"/>
          <w:sz w:val="20"/>
        </w:rPr>
        <w:t>Litigation is inherently unpredictable and excessive damage awards do occur. Though we have stated that we do not expect any pending legal proceedings to have a material adverse effect on our results of operations, financial condition or liquidity, any settlement or judgment with respect to a legal proceeding could be significant and could have such an effect.</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u w:val="single"/>
        </w:rPr>
        <w:t>The possibility that we will engage in open market purchases of AB Holding Units for anticipated obligations under our incentive compensation award program:</w:t>
      </w:r>
      <w:r>
        <w:rPr>
          <w:color w:val="000000"/>
        </w:rPr>
        <w:t xml:space="preserve"> </w:t>
      </w:r>
      <w:r>
        <w:rPr>
          <w:rFonts w:ascii="Times New Roman;serif" w:hAnsi="Times New Roman;serif"/>
          <w:b w:val="false"/>
          <w:color w:val="000000"/>
          <w:sz w:val="20"/>
        </w:rPr>
        <w:t>The number of AB Holding Units AB may decide to buy in future periods, if any, for incentive compensation awards depends on various factors, some of which are beyond our control, including the fluctuation in the price of an AB Holding Unit (NYSE: AB) and the availability of cash to make these purchases.</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u w:val="single"/>
        </w:rPr>
        <w:t>Our determination that adjusted employee compensation expense, excluding the impact of performance-based fees, generally should not exceed 50% of our adjusted net revenues on an annual basis:</w:t>
      </w:r>
      <w:r>
        <w:rPr>
          <w:color w:val="000000"/>
        </w:rPr>
        <w:t xml:space="preserve"> </w:t>
      </w:r>
      <w:r>
        <w:rPr>
          <w:rFonts w:ascii="Times New Roman;serif" w:hAnsi="Times New Roman;serif"/>
          <w:b w:val="false"/>
          <w:color w:val="000000"/>
          <w:sz w:val="20"/>
        </w:rPr>
        <w:t>Aggregate employee compensation reflects employee performance and competitive compensation levels.  Fluctuations in our revenues and/or changes in competitive compensation levels could result in adjusted employee compensation expense exceeding 50% of our adjusted net revenues.</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u w:val="single"/>
        </w:rPr>
        <w:t>Our initiative to replace our investment management technology:</w:t>
      </w:r>
      <w:r>
        <w:rPr>
          <w:color w:val="000000"/>
        </w:rPr>
        <w:t xml:space="preserve"> </w:t>
      </w:r>
      <w:r>
        <w:rPr>
          <w:rFonts w:ascii="Times New Roman;serif" w:hAnsi="Times New Roman;serif"/>
          <w:b w:val="false"/>
          <w:color w:val="000000"/>
          <w:sz w:val="20"/>
        </w:rPr>
        <w:t>While we believe that our initiative to replace our existing investment management technology will result in long term savings to the business based on reasonable assumptions as of the date of this report, the duration and complexity of the project creates a significant risk that our current assumptions may not be realized.</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rFonts w:ascii="Times New Roman;serif" w:hAnsi="Times New Roman;serif"/>
          <w:b/>
          <w:color w:val="000000"/>
          <w:sz w:val="20"/>
        </w:rPr>
        <w:t>Item 3.     </w:t>
      </w:r>
      <w:r>
        <w:rPr>
          <w:rFonts w:ascii="Times New Roman;serif" w:hAnsi="Times New Roman;serif"/>
          <w:b/>
          <w:color w:val="000000"/>
          <w:sz w:val="20"/>
          <w:u w:val="single"/>
        </w:rPr>
        <w:t>Quantitative and Qualitative Disclosures About Market Risk</w:t>
      </w:r>
    </w:p>
    <w:p>
      <w:pPr>
        <w:pStyle w:val="TextBody"/>
        <w:bidi w:val="0"/>
        <w:spacing w:before="0" w:after="0"/>
        <w:jc w:val="left"/>
        <w:rPr/>
      </w:pPr>
      <w:r>
        <w:rPr/>
      </w:r>
    </w:p>
    <w:p>
      <w:pPr>
        <w:pStyle w:val="TextBody"/>
        <w:bidi w:val="0"/>
        <w:spacing w:lineRule="auto" w:line="288" w:before="0" w:after="180"/>
        <w:jc w:val="both"/>
        <w:rPr/>
      </w:pPr>
      <w:r>
        <w:rPr>
          <w:rFonts w:ascii="Times New Roman;serif" w:hAnsi="Times New Roman;serif"/>
          <w:b w:val="false"/>
          <w:color w:val="000000"/>
          <w:sz w:val="20"/>
        </w:rPr>
        <w:t xml:space="preserve">There have been no material changes in AB’s market risk during the second quarter of 2026 from the information provided under </w:t>
      </w:r>
      <w:r>
        <w:rPr>
          <w:color w:val="000000"/>
        </w:rPr>
        <w:t>“</w:t>
      </w:r>
      <w:r>
        <w:rPr>
          <w:rFonts w:ascii="Times New Roman;serif" w:hAnsi="Times New Roman;serif"/>
          <w:b w:val="false"/>
          <w:i/>
          <w:color w:val="000000"/>
          <w:sz w:val="20"/>
        </w:rPr>
        <w:t xml:space="preserve">Quantitative and Qualitative Disclosures About Market Risk” </w:t>
      </w:r>
      <w:r>
        <w:rPr>
          <w:rFonts w:ascii="Times New Roman;serif" w:hAnsi="Times New Roman;serif"/>
          <w:b w:val="false"/>
          <w:color w:val="000000"/>
          <w:sz w:val="20"/>
        </w:rPr>
        <w:t>in Part II, Item 7A of AB's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rFonts w:ascii="Times New Roman;serif" w:hAnsi="Times New Roman;serif"/>
          <w:b/>
          <w:color w:val="000000"/>
          <w:sz w:val="20"/>
        </w:rPr>
        <w:t>Item 4.     </w:t>
      </w:r>
      <w:r>
        <w:rPr>
          <w:rFonts w:ascii="Times New Roman;serif" w:hAnsi="Times New Roman;serif"/>
          <w:b/>
          <w:color w:val="000000"/>
          <w:sz w:val="20"/>
          <w:u w:val="single"/>
        </w:rPr>
        <w:t>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Holding and AB maintain a system of disclosure controls and procedures that is designed to ensure that information required to be disclosed in our reports under the Exchange Act is (i) recorded, processed, summarized and reported in a timely manner, and (ii) accumulated and communicated to management, including the Chief Executive Officer ("CEO") and the Chief Financial Officer ("CFO"), to permit timely decisions regarding our disclosure.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management carried out an evaluation, under the supervision and with the participation of the CEO and the CFO, of the effectiveness of the design and operation of the disclosure controls and procedures. Based on this evaluation, the CEO and the CFO concluded that the disclosure controls and procedures are effective.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January 2026, the Company completed the implementation of a new accounting and financial reporting software system (the "software system"). As part of this implementation, the Company updated its internal controls over financial reporting to address changes in business processes resulting from the new software system. There were no other changes in our internal control over financial reporting that occurred during the six months ended June 30, 2026, that have materially affected, or are reasonably likely to have materially affected,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1.     </w:t>
      </w:r>
      <w:r>
        <w:rPr>
          <w:rFonts w:ascii="Times New Roman;serif" w:hAnsi="Times New Roman;serif"/>
          <w:b/>
          <w:color w:val="000000"/>
          <w:sz w:val="20"/>
          <w:u w:val="single"/>
        </w:rPr>
        <w:t>Legal Proceedings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See Note 12 to the condensed consolidated financial statements contained in Part I, Item 1</w:t>
      </w:r>
      <w:r>
        <w:rPr>
          <w:rFonts w:ascii="Times New Roman;serif" w:hAnsi="Times New Roman;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1A.     </w:t>
      </w:r>
      <w:r>
        <w:rPr>
          <w:rFonts w:ascii="Times New Roman;serif" w:hAnsi="Times New Roman;serif"/>
          <w:b/>
          <w:color w:val="000000"/>
          <w:sz w:val="20"/>
          <w:u w:val="single"/>
        </w:rPr>
        <w:t>Risk Factors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the risk factors from those appearing in our Annual Report on Form 10-K ("AB 10-K") for the fiscal year ended December 31,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2.     </w:t>
      </w:r>
      <w:r>
        <w:rPr>
          <w:rFonts w:ascii="Times New Roman;serif" w:hAnsi="Times New Roman;serif"/>
          <w:b/>
          <w:color w:val="000000"/>
          <w:sz w:val="20"/>
          <w:u w:val="single"/>
        </w:rPr>
        <w:t>Unregistered Sales of Equity Securities and Use of Proceeds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Units bought by us or one of our affiliates during the second quarter of 2026 are as follows: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0"/>
        <w:jc w:val="center"/>
        <w:rPr>
          <w:color w:val="000000"/>
        </w:rPr>
      </w:pPr>
      <w:r>
        <w:rPr>
          <w:color w:val="000000"/>
        </w:rPr>
        <w:t> </w:t>
      </w:r>
    </w:p>
    <w:tbl>
      <w:tblPr>
        <w:tblW w:w="9615" w:type="dxa"/>
        <w:jc w:val="center"/>
        <w:tblInd w:w="0" w:type="dxa"/>
        <w:tblLayout w:type="fixed"/>
        <w:tblCellMar>
          <w:top w:w="28" w:type="dxa"/>
          <w:left w:w="28" w:type="dxa"/>
          <w:bottom w:w="28" w:type="dxa"/>
          <w:right w:w="28" w:type="dxa"/>
        </w:tblCellMar>
      </w:tblPr>
      <w:tblGrid>
        <w:gridCol w:w="586"/>
        <w:gridCol w:w="516"/>
        <w:gridCol w:w="518"/>
        <w:gridCol w:w="109"/>
        <w:gridCol w:w="109"/>
        <w:gridCol w:w="109"/>
        <w:gridCol w:w="434"/>
        <w:gridCol w:w="434"/>
        <w:gridCol w:w="436"/>
        <w:gridCol w:w="109"/>
        <w:gridCol w:w="109"/>
        <w:gridCol w:w="109"/>
        <w:gridCol w:w="296"/>
        <w:gridCol w:w="885"/>
        <w:gridCol w:w="154"/>
        <w:gridCol w:w="109"/>
        <w:gridCol w:w="109"/>
        <w:gridCol w:w="109"/>
        <w:gridCol w:w="669"/>
        <w:gridCol w:w="669"/>
        <w:gridCol w:w="671"/>
        <w:gridCol w:w="109"/>
        <w:gridCol w:w="109"/>
        <w:gridCol w:w="109"/>
        <w:gridCol w:w="596"/>
        <w:gridCol w:w="596"/>
        <w:gridCol w:w="847"/>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w:t>
              <w:br/>
              <w:t>of AB Units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 Price</w:t>
            </w:r>
          </w:p>
          <w:p>
            <w:pPr>
              <w:pStyle w:val="TableContents"/>
              <w:bidi w:val="0"/>
              <w:spacing w:lineRule="auto" w:line="240" w:before="0" w:after="0"/>
              <w:jc w:val="center"/>
              <w:rPr/>
            </w:pPr>
            <w:r>
              <w:rPr>
                <w:rFonts w:ascii="Times New Roman;serif" w:hAnsi="Times New Roman;serif"/>
                <w:b/>
                <w:color w:val="000000"/>
                <w:sz w:val="20"/>
              </w:rPr>
              <w:t>Paid</w:t>
            </w:r>
            <w:r>
              <w:rPr>
                <w:color w:val="000000"/>
              </w:rPr>
              <w:t xml:space="preserve"> </w:t>
            </w:r>
            <w:r>
              <w:rPr>
                <w:rFonts w:ascii="Times New Roman;serif" w:hAnsi="Times New Roman;serif"/>
                <w:b/>
                <w:color w:val="000000"/>
                <w:sz w:val="20"/>
              </w:rPr>
              <w:t>Per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AB Unit, net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Commissions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w:t>
              <w:br/>
              <w:t>AB Units Purchased as</w:t>
              <w:br/>
              <w:t>Part of 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Number</w:t>
              <w:br/>
              <w:t>(or Approximate</w:t>
              <w:br/>
              <w:t>Dollar Value) of</w:t>
              <w:br/>
              <w:t>AB Units that May Yet</w:t>
              <w:br/>
              <w:t>Be Purchased Under</w:t>
              <w:br/>
              <w:t>the Plans or</w:t>
              <w:br/>
              <w:t>Programs</w:t>
            </w:r>
          </w:p>
        </w:tc>
      </w:tr>
      <w:tr>
        <w:trPr/>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4/1/26 - 4/30/26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5/1/26 - 5/31/26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6/1/26 - 6/30/26</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2,200</w:t>
            </w:r>
            <w:r>
              <w:rPr>
                <w:color w:val="000000"/>
              </w:rPr>
              <w:t> </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During the </w:t>
      </w:r>
      <w:r>
        <w:rPr>
          <w:rFonts w:ascii="Times New Roman;serif" w:hAnsi="Times New Roman;serif"/>
          <w:b w:val="false"/>
          <w:color w:val="000000"/>
          <w:sz w:val="20"/>
        </w:rPr>
        <w:t>second</w:t>
      </w:r>
      <w:r>
        <w:rPr>
          <w:color w:val="000000"/>
        </w:rPr>
        <w:t xml:space="preserve"> </w:t>
      </w:r>
      <w:r>
        <w:rPr>
          <w:rFonts w:ascii="Times New Roman;serif" w:hAnsi="Times New Roman;serif"/>
          <w:b w:val="false"/>
          <w:color w:val="000000"/>
          <w:sz w:val="18"/>
        </w:rPr>
        <w:t xml:space="preserve">quarter of </w:t>
      </w:r>
      <w:r>
        <w:rPr>
          <w:rFonts w:ascii="Times New Roman;serif" w:hAnsi="Times New Roman;serif"/>
          <w:b w:val="false"/>
          <w:color w:val="000000"/>
          <w:sz w:val="20"/>
        </w:rPr>
        <w:t>2026</w:t>
      </w:r>
      <w:r>
        <w:rPr>
          <w:rFonts w:ascii="Times New Roman;serif" w:hAnsi="Times New Roman;serif"/>
          <w:b w:val="false"/>
          <w:color w:val="000000"/>
          <w:sz w:val="18"/>
        </w:rPr>
        <w:t>, AB purchased 2,200 AB Units in private transactions and retired them.</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3.     </w:t>
      </w:r>
      <w:r>
        <w:rPr>
          <w:rFonts w:ascii="Times New Roman;serif" w:hAnsi="Times New Roman;serif"/>
          <w:b/>
          <w:color w:val="000000"/>
          <w:sz w:val="20"/>
          <w:u w:val="single"/>
        </w:rPr>
        <w:t>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4.     </w:t>
      </w:r>
      <w:r>
        <w:rPr>
          <w:rFonts w:ascii="Times New Roman;serif" w:hAnsi="Times New Roman;serif"/>
          <w:b/>
          <w:color w:val="000000"/>
          <w:sz w:val="20"/>
          <w:u w:val="single"/>
        </w:rPr>
        <w:t>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080"/>
        <w:jc w:val="left"/>
        <w:rPr/>
      </w:pPr>
      <w:r>
        <w:rPr/>
      </w:r>
    </w:p>
    <w:p>
      <w:pPr>
        <w:pStyle w:val="TextBody"/>
        <w:bidi w:val="0"/>
        <w:spacing w:lineRule="auto" w:line="288" w:before="0" w:after="0"/>
        <w:ind w:left="0" w:right="0" w:hanging="1080"/>
        <w:jc w:val="left"/>
        <w:rPr/>
      </w:pPr>
      <w:r>
        <w:rPr>
          <w:rFonts w:ascii="Times New Roman;serif" w:hAnsi="Times New Roman;serif"/>
          <w:b/>
          <w:color w:val="000000"/>
          <w:sz w:val="20"/>
        </w:rPr>
        <w:t>Item 5.     </w:t>
      </w:r>
      <w:r>
        <w:rPr>
          <w:rFonts w:ascii="Times New Roman;serif" w:hAnsi="Times New Roman;serif"/>
          <w:b/>
          <w:color w:val="000000"/>
          <w:sz w:val="20"/>
          <w:u w:val="single"/>
        </w:rPr>
        <w:t>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directors or officers adopted or terminated a 10b5-1 trading arrangement or non-10b5-1 trading arrangement during the second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left"/>
        <w:rPr/>
      </w:pPr>
      <w:r>
        <w:rPr>
          <w:rFonts w:ascii="Times New Roman;serif" w:hAnsi="Times New Roman;serif"/>
          <w:b/>
          <w:color w:val="000000"/>
          <w:sz w:val="20"/>
        </w:rPr>
        <w:t>Item 6.     </w:t>
      </w:r>
      <w:r>
        <w:rPr>
          <w:rFonts w:ascii="Times New Roman;serif" w:hAnsi="Times New Roman;serif"/>
          <w:b/>
          <w:color w:val="000000"/>
          <w:sz w:val="20"/>
          <w:u w:val="single"/>
        </w:rPr>
        <w:t>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3"/>
        <w:gridCol w:w="285"/>
        <w:gridCol w:w="126"/>
        <w:gridCol w:w="2769"/>
        <w:gridCol w:w="2769"/>
        <w:gridCol w:w="3933"/>
      </w:tblGrid>
      <w:tr>
        <w:trPr/>
        <w:tc>
          <w:tcPr>
            <w:tcW w:w="32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063026exhibit311.htm">
              <w:r>
                <w:rPr>
                  <w:rStyle w:val="InternetLink"/>
                  <w:rFonts w:ascii="Times New Roman;serif" w:hAnsi="Times New Roman;serif"/>
                  <w:b w:val="false"/>
                  <w:color w:val="0000FF"/>
                  <w:sz w:val="20"/>
                  <w:u w:val="single"/>
                </w:rPr>
                <w:t>Certification of Mr. Bernstein furnished pursuant to Section 302 of the Sarbanes-Oxley Act of 2002.</w:t>
              </w:r>
            </w:hyperlink>
          </w:p>
        </w:tc>
      </w:tr>
      <w:tr>
        <w:trPr/>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063026exhibit312.htm">
              <w:r>
                <w:rPr>
                  <w:rStyle w:val="InternetLink"/>
                  <w:rFonts w:ascii="Times New Roman;serif" w:hAnsi="Times New Roman;serif"/>
                  <w:b w:val="false"/>
                  <w:color w:val="0000FF"/>
                  <w:sz w:val="20"/>
                  <w:u w:val="single"/>
                </w:rPr>
                <w:t>Certification of Mr. Simeone furnished pursuant to Section 302 of the Sarbanes-Oxley Act of 2002.</w:t>
              </w:r>
            </w:hyperlink>
          </w:p>
        </w:tc>
      </w:tr>
      <w:tr>
        <w:trPr/>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063026exhibit321.htm">
              <w:r>
                <w:rPr>
                  <w:rStyle w:val="InternetLink"/>
                  <w:rFonts w:ascii="Times New Roman;serif" w:hAnsi="Times New Roman;serif"/>
                  <w:b w:val="false"/>
                  <w:color w:val="0000FF"/>
                  <w:sz w:val="20"/>
                  <w:u w:val="single"/>
                </w:rPr>
                <w:t>Certification of Mr. Bernstein furnished for the purpose of complying with Rule 13a-14(b) or Rule 15d-14(b) of the Securities Exchange Act of 1934 and 18 U.S.C. Section 1350, as adopted pursuant to Section 906 of the Sarbanes-Oxley Act of 2002.</w:t>
              </w:r>
            </w:hyperlink>
          </w:p>
        </w:tc>
      </w:tr>
      <w:tr>
        <w:trPr/>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063026exhibit322.htm">
              <w:r>
                <w:rPr>
                  <w:rStyle w:val="InternetLink"/>
                  <w:rFonts w:ascii="Times New Roman;serif" w:hAnsi="Times New Roman;serif"/>
                  <w:b w:val="false"/>
                  <w:color w:val="0000FF"/>
                  <w:sz w:val="20"/>
                  <w:u w:val="single"/>
                </w:rPr>
                <w:t>Certification of Mr. Simeone furnished for the purpose of complying with Rule 13a-14(b) or Rule 15d-14(b) of the Securities Exchange Act of 1934 and 18 U.S.C. Section 1350, as adopted pursuant to Section 906 of the Sarbanes-Oxley Act of 2002.</w:t>
              </w:r>
            </w:hyperlink>
          </w:p>
        </w:tc>
      </w:tr>
      <w:tr>
        <w:trPr/>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w:t>
            </w:r>
          </w:p>
        </w:tc>
      </w:tr>
      <w:tr>
        <w:trPr/>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w:t>
            </w:r>
          </w:p>
        </w:tc>
      </w:tr>
      <w:tr>
        <w:trPr/>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w:t>
            </w:r>
          </w:p>
        </w:tc>
      </w:tr>
      <w:tr>
        <w:trPr/>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w:t>
            </w:r>
          </w:p>
        </w:tc>
      </w:tr>
      <w:tr>
        <w:trPr/>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w:t>
            </w:r>
          </w:p>
        </w:tc>
      </w:tr>
      <w:tr>
        <w:trPr/>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212529"/>
                <w:sz w:val="20"/>
              </w:rPr>
            </w:pPr>
            <w:r>
              <w:rPr>
                <w:rFonts w:ascii="Times New Roman;serif" w:hAnsi="Times New Roman;serif"/>
                <w:b w:val="false"/>
                <w:color w:val="212529"/>
                <w:sz w:val="20"/>
              </w:rPr>
              <w:t>The cover page from the Company’s Quarterly Report on Form 10-Q for the quarter ended June 30, 2026, formatted in Inline XBRL (included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5349"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285"/>
        <w:gridCol w:w="285"/>
        <w:gridCol w:w="285"/>
        <w:gridCol w:w="580"/>
        <w:gridCol w:w="580"/>
        <w:gridCol w:w="580"/>
        <w:gridCol w:w="285"/>
        <w:gridCol w:w="285"/>
        <w:gridCol w:w="41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579"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ALLIANCEBERNSTEIN</w:t>
            </w:r>
            <w:r>
              <w:rPr>
                <w:color w:val="000000"/>
              </w:rPr>
              <w:t xml:space="preserve"> </w:t>
            </w:r>
            <w:r>
              <w:rPr>
                <w:rFonts w:ascii="Times New Roman;serif" w:hAnsi="Times New Roman;serif"/>
                <w:b/>
                <w:color w:val="000000"/>
                <w:sz w:val="20"/>
              </w:rPr>
              <w:t>L.P.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Simeone</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Simeone</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Alexis Luckey</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Alexis Luckey</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before="2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ind w:left="0" w:right="0" w:firstLine="360"/>
        <w:jc w:val="righ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Seth Bernstein,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AllianceBernstein L.P.; </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jc w:val="both"/>
        <w:rPr/>
      </w:pPr>
      <w:r>
        <w:rPr/>
      </w:r>
    </w:p>
    <w:tbl>
      <w:tblPr>
        <w:tblW w:w="3776" w:type="dxa"/>
        <w:jc w:val="left"/>
        <w:tblInd w:w="0" w:type="dxa"/>
        <w:tblLayout w:type="fixed"/>
        <w:tblCellMar>
          <w:top w:w="28" w:type="dxa"/>
          <w:left w:w="28" w:type="dxa"/>
          <w:bottom w:w="28" w:type="dxa"/>
          <w:right w:w="28" w:type="dxa"/>
        </w:tblCellMar>
      </w:tblPr>
      <w:tblGrid>
        <w:gridCol w:w="618"/>
        <w:gridCol w:w="544"/>
        <w:gridCol w:w="547"/>
        <w:gridCol w:w="554"/>
        <w:gridCol w:w="554"/>
        <w:gridCol w:w="556"/>
        <w:gridCol w:w="118"/>
        <w:gridCol w:w="118"/>
        <w:gridCol w:w="167"/>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Seth Bernstein</w:t>
            </w:r>
          </w:p>
        </w:tc>
        <w:tc>
          <w:tcPr>
            <w:tcW w:w="4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Seth Bernstein</w:t>
            </w:r>
          </w:p>
        </w:tc>
        <w:tc>
          <w:tcPr>
            <w:tcW w:w="4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AllianceBernstein L.P.</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Tom Simeone,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AllianceBernstein L.P.;</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pPr>
      <w:r>
        <w:rPr>
          <w:rFonts w:ascii="Times New Roman;serif" w:hAnsi="Times New Roman;serif"/>
          <w:b w:val="false"/>
          <w:color w:val="000000"/>
          <w:sz w:val="20"/>
        </w:rPr>
        <w:t>(a)All significant deficiencies and material weaknesses in the design or operation of internal control over financial</w:t>
      </w:r>
      <w:r>
        <w:rPr>
          <w:color w:val="000000"/>
        </w:rPr>
        <w:t>  </w:t>
      </w:r>
      <w:r>
        <w:rPr>
          <w:rFonts w:ascii="Times New Roman;serif" w:hAnsi="Times New Roman;serif"/>
          <w:b w:val="false"/>
          <w:color w:val="000000"/>
          <w:sz w:val="20"/>
        </w:rPr>
        <w:t>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jc w:val="both"/>
        <w:rPr/>
      </w:pPr>
      <w:r>
        <w:rPr/>
      </w:r>
    </w:p>
    <w:tbl>
      <w:tblPr>
        <w:tblW w:w="4049" w:type="dxa"/>
        <w:jc w:val="left"/>
        <w:tblInd w:w="0" w:type="dxa"/>
        <w:tblLayout w:type="fixed"/>
        <w:tblCellMar>
          <w:top w:w="28" w:type="dxa"/>
          <w:left w:w="28" w:type="dxa"/>
          <w:bottom w:w="28" w:type="dxa"/>
          <w:right w:w="28" w:type="dxa"/>
        </w:tblCellMar>
      </w:tblPr>
      <w:tblGrid>
        <w:gridCol w:w="618"/>
        <w:gridCol w:w="544"/>
        <w:gridCol w:w="547"/>
        <w:gridCol w:w="644"/>
        <w:gridCol w:w="644"/>
        <w:gridCol w:w="646"/>
        <w:gridCol w:w="119"/>
        <w:gridCol w:w="119"/>
        <w:gridCol w:w="16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Tom Simeone</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Tom Simeone</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AllianceBernstein L.P.</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 PURSUANT TO</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18 U.S.C. SECTION 1350,</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AS ADOPTED PURSUANT TO</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AllianceBernstein L.P. (the “Company”) on Form 10-Q for the period ending June 30, 2026 to be filed with the Securities and Exchange Commission on or about July 31, 2026 (the “Report”), I, Seth Bernstein, Chief Executive Officer of the Company, certify, for the purpose of complying with Rule 13a-14(b) or Rule 15d-14(b) of the Securities Exchange Act of 1934 (the “Exchange Act”) and 18 U.S.C. §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both"/>
        <w:rPr/>
      </w:pPr>
      <w:r>
        <w:rPr/>
      </w:r>
    </w:p>
    <w:tbl>
      <w:tblPr>
        <w:tblW w:w="4106" w:type="dxa"/>
        <w:jc w:val="left"/>
        <w:tblInd w:w="0" w:type="dxa"/>
        <w:tblLayout w:type="fixed"/>
        <w:tblCellMar>
          <w:top w:w="28" w:type="dxa"/>
          <w:left w:w="28" w:type="dxa"/>
          <w:bottom w:w="28" w:type="dxa"/>
          <w:right w:w="28" w:type="dxa"/>
        </w:tblCellMar>
      </w:tblPr>
      <w:tblGrid>
        <w:gridCol w:w="618"/>
        <w:gridCol w:w="544"/>
        <w:gridCol w:w="547"/>
        <w:gridCol w:w="674"/>
        <w:gridCol w:w="674"/>
        <w:gridCol w:w="677"/>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Seth Bernstein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Seth Bernstein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AllianceBernstein L.P.</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2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 PURSUANT TO</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18 U.S.C. SECTION 1350,</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AS ADOPTED PURSUANT TO</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AllianceBernstein L.P. (the “Company”) on Form 10-Q for the period ending June 30, 2026 to be filed with the Securities and Exchange Commission on or about July 31, 2026 (the “Report”), I, Tom Simeone, Chief Financial Officer of the Company, certify, for the purpose of complying with Rule 13a-14(b) or 15d-14(b) of the Securities Exchange Act of 1934 (the “Exchange Act”) and 18 U.S.C. §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049" w:type="dxa"/>
        <w:jc w:val="left"/>
        <w:tblInd w:w="0" w:type="dxa"/>
        <w:tblLayout w:type="fixed"/>
        <w:tblCellMar>
          <w:top w:w="28" w:type="dxa"/>
          <w:left w:w="28" w:type="dxa"/>
          <w:bottom w:w="28" w:type="dxa"/>
          <w:right w:w="28" w:type="dxa"/>
        </w:tblCellMar>
      </w:tblPr>
      <w:tblGrid>
        <w:gridCol w:w="618"/>
        <w:gridCol w:w="544"/>
        <w:gridCol w:w="547"/>
        <w:gridCol w:w="644"/>
        <w:gridCol w:w="644"/>
        <w:gridCol w:w="646"/>
        <w:gridCol w:w="119"/>
        <w:gridCol w:w="119"/>
        <w:gridCol w:w="16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Tom Simeone</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Tom Simeone</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AllianceBernstein L.P.</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24848</Words>
  <Characters>139022</Characters>
  <CharactersWithSpaces>161928</CharactersWithSpaces>
  <Paragraphs>4348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