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0" w:lineRule="exact"/>
        <w:rPr>
          <w:sz w:val="24"/>
          <w:szCs w:val="24"/>
          <w:color w:val="auto"/>
        </w:rPr>
      </w:pPr>
    </w:p>
    <w:p>
      <w:pPr>
        <w:ind w:left="320" w:right="20"/>
        <w:spacing w:after="0" w:line="28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-186690</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spacing w:after="0" w:line="23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-542290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0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341"/>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61"/>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00" w:type="dxa"/>
            <w:vAlign w:val="bottom"/>
            <w:vMerge w:val="restart"/>
          </w:tcPr>
          <w:p>
            <w:pPr>
              <w:jc w:val="center"/>
              <w:ind w:right="3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5147310</wp:posOffset>
            </wp:positionH>
            <wp:positionV relativeFrom="paragraph">
              <wp:posOffset>-588645</wp:posOffset>
            </wp:positionV>
            <wp:extent cx="55880" cy="601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198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-588645</wp:posOffset>
            </wp:positionV>
            <wp:extent cx="55880" cy="601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60198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622935</wp:posOffset>
            </wp:positionV>
            <wp:extent cx="7001510" cy="4947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1510" cy="4947920"/>
                    </a:xfrm>
                    <a:prstGeom prst="rect">
                      <a:avLst/>
                    </a:prstGeom>
                    <a:noFill/>
                  </pic:spPr>
                </pic:pic>
              </a:graphicData>
            </a:graphic>
          </wp:anchor>
        </w:drawing>
      </w:r>
    </w:p>
    <w:p>
      <w:pPr>
        <w:spacing w:after="0" w:line="988" w:lineRule="exact"/>
        <w:rPr>
          <w:sz w:val="24"/>
          <w:szCs w:val="24"/>
          <w:color w:val="auto"/>
        </w:rPr>
      </w:pPr>
    </w:p>
    <w:p>
      <w:pPr>
        <w:sectPr>
          <w:pgSz w:w="11900" w:h="16838" w:orient="portrait"/>
          <w:cols w:equalWidth="0" w:num="2">
            <w:col w:w="2320" w:space="440"/>
            <w:col w:w="8320"/>
          </w:cols>
          <w:pgMar w:left="460" w:top="211"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10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2320" w:type="dxa"/>
            <w:vAlign w:val="bottom"/>
            <w:gridSpan w:val="4"/>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Equitable Holdings, Inc.</w:t>
              </w:r>
            </w:hyperlink>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100" w:type="dxa"/>
            <w:vAlign w:val="bottom"/>
            <w:gridSpan w:val="7"/>
          </w:tcPr>
          <w:p>
            <w:pPr>
              <w:spacing w:after="0" w:line="97"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ALLIANCEBERNSTEIN L.P.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NONE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2320" w:type="dxa"/>
            <w:vAlign w:val="bottom"/>
            <w:gridSpan w:val="4"/>
            <w:vMerge w:val="continue"/>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Borders>
              <w:bottom w:val="single" w:sz="8" w:color="0000EE"/>
            </w:tcBorders>
          </w:tcPr>
          <w:p>
            <w:pPr>
              <w:spacing w:after="0"/>
              <w:rPr>
                <w:sz w:val="5"/>
                <w:szCs w:val="5"/>
                <w:color w:val="auto"/>
              </w:rPr>
            </w:pPr>
          </w:p>
        </w:tc>
        <w:tc>
          <w:tcPr>
            <w:tcW w:w="180" w:type="dxa"/>
            <w:vAlign w:val="bottom"/>
            <w:tcBorders>
              <w:bottom w:val="single" w:sz="8" w:color="0000EE"/>
            </w:tcBorders>
          </w:tcPr>
          <w:p>
            <w:pPr>
              <w:spacing w:after="0"/>
              <w:rPr>
                <w:sz w:val="5"/>
                <w:szCs w:val="5"/>
                <w:color w:val="auto"/>
              </w:rPr>
            </w:pPr>
          </w:p>
        </w:tc>
        <w:tc>
          <w:tcPr>
            <w:tcW w:w="96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78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320" w:type="dxa"/>
            <w:vAlign w:val="bottom"/>
            <w:gridSpan w:val="4"/>
            <w:vMerge w:val="continue"/>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Director</w:t>
            </w: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5"/>
            <w:vMerge w:val="restart"/>
          </w:tcPr>
          <w:p>
            <w:pPr>
              <w:ind w:left="2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7"/>
                <w:szCs w:val="7"/>
                <w:color w:val="auto"/>
              </w:rPr>
            </w:pPr>
          </w:p>
        </w:tc>
        <w:tc>
          <w:tcPr>
            <w:tcW w:w="1460" w:type="dxa"/>
            <w:vAlign w:val="bottom"/>
            <w:gridSpan w:val="5"/>
            <w:vMerge w:val="restart"/>
          </w:tcPr>
          <w:p>
            <w:pPr>
              <w:ind w:left="2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
                <w:szCs w:val="2"/>
                <w:color w:val="auto"/>
              </w:rPr>
            </w:pPr>
          </w:p>
        </w:tc>
        <w:tc>
          <w:tcPr>
            <w:tcW w:w="1100" w:type="dxa"/>
            <w:vAlign w:val="bottom"/>
            <w:gridSpan w:val="2"/>
            <w:vMerge w:val="restart"/>
          </w:tcPr>
          <w:p>
            <w:pPr>
              <w:spacing w:after="0"/>
              <w:rPr>
                <w:sz w:val="20"/>
                <w:szCs w:val="20"/>
                <w:color w:val="auto"/>
              </w:rPr>
            </w:pPr>
            <w:r>
              <w:rPr>
                <w:rFonts w:ascii="Arial" w:cs="Arial" w:eastAsia="Arial" w:hAnsi="Arial"/>
                <w:sz w:val="12"/>
                <w:szCs w:val="12"/>
                <w:color w:val="auto"/>
              </w:rPr>
              <w:t>(First)</w:t>
            </w:r>
          </w:p>
        </w:tc>
        <w:tc>
          <w:tcPr>
            <w:tcW w:w="940" w:type="dxa"/>
            <w:vAlign w:val="bottom"/>
            <w:vMerge w:val="restart"/>
          </w:tcPr>
          <w:p>
            <w:pPr>
              <w:ind w:left="14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below)</w:t>
            </w: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below)</w:t>
            </w: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7"/>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100" w:type="dxa"/>
            <w:vAlign w:val="bottom"/>
            <w:gridSpan w:val="7"/>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0000FF"/>
              </w:rPr>
              <w:t>See Remarks</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2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1345 AVENUE OF THE AMERICAS</w:t>
            </w:r>
          </w:p>
        </w:tc>
        <w:tc>
          <w:tcPr>
            <w:tcW w:w="2000" w:type="dxa"/>
            <w:vAlign w:val="bottom"/>
            <w:gridSpan w:val="7"/>
          </w:tcPr>
          <w:p>
            <w:pPr>
              <w:ind w:left="540"/>
              <w:spacing w:after="0"/>
              <w:rPr>
                <w:sz w:val="20"/>
                <w:szCs w:val="20"/>
                <w:color w:val="auto"/>
              </w:rPr>
            </w:pPr>
            <w:r>
              <w:rPr>
                <w:rFonts w:ascii="Times New Roman" w:cs="Times New Roman" w:eastAsia="Times New Roman" w:hAnsi="Times New Roman"/>
                <w:sz w:val="16"/>
                <w:szCs w:val="16"/>
                <w:color w:val="0000FF"/>
              </w:rPr>
              <w:t>07/10/2025</w:t>
            </w: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6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100" w:type="dxa"/>
            <w:vAlign w:val="bottom"/>
            <w:gridSpan w:val="7"/>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NEW YORK</w:t>
            </w: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NY</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10105</w:t>
            </w: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100" w:type="dxa"/>
            <w:vAlign w:val="bottom"/>
            <w:gridSpan w:val="7"/>
            <w:vMerge w:val="continue"/>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00" w:type="dxa"/>
            <w:vAlign w:val="bottom"/>
            <w:gridSpan w:val="4"/>
            <w:vMerge w:val="restart"/>
          </w:tcPr>
          <w:p>
            <w:pPr>
              <w:ind w:left="100"/>
              <w:spacing w:after="0"/>
              <w:rPr>
                <w:sz w:val="20"/>
                <w:szCs w:val="20"/>
                <w:color w:val="auto"/>
              </w:rPr>
            </w:pPr>
            <w:r>
              <w:rPr>
                <w:rFonts w:ascii="Arial" w:cs="Arial" w:eastAsia="Arial" w:hAnsi="Arial"/>
                <w:sz w:val="12"/>
                <w:szCs w:val="12"/>
                <w:color w:val="auto"/>
              </w:rPr>
              <w:t>Form filed by One Reporting Person</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10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2920" w:type="dxa"/>
            <w:vAlign w:val="bottom"/>
            <w:gridSpan w:val="8"/>
            <w:vMerge w:val="restart"/>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9"/>
        </w:trPr>
        <w:tc>
          <w:tcPr>
            <w:tcW w:w="100" w:type="dxa"/>
            <w:vAlign w:val="bottom"/>
          </w:tcPr>
          <w:p>
            <w:pPr>
              <w:spacing w:after="0"/>
              <w:rPr>
                <w:sz w:val="8"/>
                <w:szCs w:val="8"/>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8"/>
                <w:szCs w:val="8"/>
                <w:color w:val="auto"/>
              </w:rPr>
            </w:pPr>
          </w:p>
        </w:tc>
        <w:tc>
          <w:tcPr>
            <w:tcW w:w="1100" w:type="dxa"/>
            <w:vAlign w:val="bottom"/>
            <w:gridSpan w:val="2"/>
            <w:vMerge w:val="restart"/>
          </w:tcPr>
          <w:p>
            <w:pPr>
              <w:spacing w:after="0"/>
              <w:rPr>
                <w:sz w:val="20"/>
                <w:szCs w:val="20"/>
                <w:color w:val="auto"/>
              </w:rPr>
            </w:pPr>
            <w:r>
              <w:rPr>
                <w:rFonts w:ascii="Arial" w:cs="Arial" w:eastAsia="Arial" w:hAnsi="Arial"/>
                <w:sz w:val="12"/>
                <w:szCs w:val="12"/>
                <w:color w:val="auto"/>
              </w:rPr>
              <w:t>(State)</w:t>
            </w:r>
          </w:p>
        </w:tc>
        <w:tc>
          <w:tcPr>
            <w:tcW w:w="94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29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gridSpan w:val="3"/>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6440" w:type="dxa"/>
            <w:vAlign w:val="bottom"/>
            <w:tcBorders>
              <w:top w:val="single" w:sz="8" w:color="2C2C2C"/>
            </w:tcBorders>
            <w:gridSpan w:val="17"/>
          </w:tcPr>
          <w:p>
            <w:pPr>
              <w:ind w:lef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gridSpan w:val="3"/>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40" w:type="dxa"/>
            <w:vAlign w:val="bottom"/>
          </w:tcPr>
          <w:p>
            <w:pPr>
              <w:spacing w:after="0"/>
              <w:rPr>
                <w:sz w:val="13"/>
                <w:szCs w:val="13"/>
                <w:color w:val="auto"/>
              </w:rPr>
            </w:pPr>
          </w:p>
        </w:tc>
        <w:tc>
          <w:tcPr>
            <w:tcW w:w="860" w:type="dxa"/>
            <w:vAlign w:val="bottom"/>
            <w:gridSpan w:val="5"/>
          </w:tcPr>
          <w:p>
            <w:pPr>
              <w:ind w:left="20"/>
              <w:spacing w:after="0"/>
              <w:rPr>
                <w:sz w:val="20"/>
                <w:szCs w:val="20"/>
                <w:color w:val="auto"/>
              </w:rPr>
            </w:pPr>
            <w:r>
              <w:rPr>
                <w:rFonts w:ascii="Arial" w:cs="Arial" w:eastAsia="Arial" w:hAnsi="Arial"/>
                <w:sz w:val="11"/>
                <w:szCs w:val="11"/>
                <w:b w:val="1"/>
                <w:bCs w:val="1"/>
                <w:color w:val="auto"/>
              </w:rPr>
              <w:t>2. Transaction</w:t>
            </w:r>
          </w:p>
        </w:tc>
        <w:tc>
          <w:tcPr>
            <w:tcW w:w="180" w:type="dxa"/>
            <w:vAlign w:val="bottom"/>
          </w:tcPr>
          <w:p>
            <w:pPr>
              <w:spacing w:after="0"/>
              <w:rPr>
                <w:sz w:val="13"/>
                <w:szCs w:val="13"/>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w w:val="98"/>
              </w:rPr>
              <w:t>5. Amount of</w:t>
            </w:r>
          </w:p>
        </w:tc>
        <w:tc>
          <w:tcPr>
            <w:tcW w:w="46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10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5"/>
          </w:tcPr>
          <w:p>
            <w:pPr>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gridSpan w:val="6"/>
          </w:tcPr>
          <w:p>
            <w:pPr>
              <w:ind w:left="20"/>
              <w:spacing w:after="0" w:line="121"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Code (Instr.</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vMerge w:val="restart"/>
          </w:tcPr>
          <w:p>
            <w:pPr>
              <w:spacing w:after="0"/>
              <w:rPr>
                <w:sz w:val="5"/>
                <w:szCs w:val="5"/>
                <w:color w:val="auto"/>
              </w:rPr>
            </w:pPr>
          </w:p>
        </w:tc>
        <w:tc>
          <w:tcPr>
            <w:tcW w:w="1160" w:type="dxa"/>
            <w:vAlign w:val="bottom"/>
            <w:gridSpan w:val="2"/>
            <w:vMerge w:val="restart"/>
          </w:tcPr>
          <w:p>
            <w:pPr>
              <w:ind w:left="20"/>
              <w:spacing w:after="0" w:line="121"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4"/>
            <w:vMerge w:val="restart"/>
          </w:tcPr>
          <w:p>
            <w:pPr>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3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5"/>
              </w:rPr>
              <w:t>(A) or</w:t>
            </w:r>
          </w:p>
        </w:tc>
        <w:tc>
          <w:tcPr>
            <w:tcW w:w="76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3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6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Units</w:t>
            </w:r>
            <w:r>
              <w:rPr>
                <w:rFonts w:ascii="Times New Roman" w:cs="Times New Roman" w:eastAsia="Times New Roman" w:hAnsi="Times New Roman"/>
                <w:sz w:val="20"/>
                <w:szCs w:val="20"/>
                <w:color w:val="008000"/>
                <w:vertAlign w:val="superscript"/>
              </w:rPr>
              <w:t>(1)</w:t>
            </w:r>
          </w:p>
        </w:tc>
        <w:tc>
          <w:tcPr>
            <w:tcW w:w="6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ind w:left="120"/>
              <w:spacing w:after="0"/>
              <w:rPr>
                <w:sz w:val="20"/>
                <w:szCs w:val="20"/>
                <w:color w:val="auto"/>
              </w:rPr>
            </w:pPr>
            <w:r>
              <w:rPr>
                <w:rFonts w:ascii="Times New Roman" w:cs="Times New Roman" w:eastAsia="Times New Roman" w:hAnsi="Times New Roman"/>
                <w:sz w:val="16"/>
                <w:szCs w:val="16"/>
                <w:color w:val="0000FF"/>
                <w:w w:val="98"/>
              </w:rPr>
              <w:t>07/10/2025</w:t>
            </w:r>
          </w:p>
        </w:tc>
        <w:tc>
          <w:tcPr>
            <w:tcW w:w="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(2)(3)</w:t>
            </w:r>
          </w:p>
        </w:tc>
        <w:tc>
          <w:tcPr>
            <w:tcW w:w="820" w:type="dxa"/>
            <w:vAlign w:val="bottom"/>
            <w:tcBorders>
              <w:bottom w:val="single" w:sz="8" w:color="2C2C2C"/>
            </w:tcBorders>
            <w:gridSpan w:val="2"/>
          </w:tcPr>
          <w:p>
            <w:pPr>
              <w:jc w:val="right"/>
              <w:ind w:right="25"/>
              <w:spacing w:after="0"/>
              <w:rPr>
                <w:sz w:val="20"/>
                <w:szCs w:val="20"/>
                <w:color w:val="auto"/>
              </w:rPr>
            </w:pPr>
            <w:r>
              <w:rPr>
                <w:rFonts w:ascii="Times New Roman" w:cs="Times New Roman" w:eastAsia="Times New Roman" w:hAnsi="Times New Roman"/>
                <w:sz w:val="16"/>
                <w:szCs w:val="16"/>
                <w:color w:val="0000FF"/>
                <w:w w:val="99"/>
              </w:rPr>
              <w:t>19,682,946</w:t>
            </w:r>
          </w:p>
        </w:tc>
        <w:tc>
          <w:tcPr>
            <w:tcW w:w="3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Borders>
              <w:bottom w:val="single" w:sz="8" w:color="2C2C2C"/>
            </w:tcBorders>
            <w:gridSpan w:val="2"/>
          </w:tcPr>
          <w:p>
            <w:pPr>
              <w:ind w:left="3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00" w:type="dxa"/>
            <w:vAlign w:val="bottom"/>
            <w:tcBorders>
              <w:bottom w:val="single" w:sz="8" w:color="2C2C2C"/>
            </w:tcBorders>
            <w:gridSpan w:val="3"/>
          </w:tcPr>
          <w:p>
            <w:pPr>
              <w:jc w:val="right"/>
              <w:ind w:right="202"/>
              <w:spacing w:after="0"/>
              <w:rPr>
                <w:sz w:val="20"/>
                <w:szCs w:val="20"/>
                <w:color w:val="auto"/>
              </w:rPr>
            </w:pPr>
            <w:r>
              <w:rPr>
                <w:rFonts w:ascii="Times New Roman" w:cs="Times New Roman" w:eastAsia="Times New Roman" w:hAnsi="Times New Roman"/>
                <w:sz w:val="16"/>
                <w:szCs w:val="16"/>
                <w:color w:val="0000FF"/>
              </w:rPr>
              <w:t>81,445,154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line="290" w:lineRule="exact"/>
              <w:rPr>
                <w:sz w:val="20"/>
                <w:szCs w:val="20"/>
                <w:color w:val="auto"/>
              </w:rPr>
            </w:pPr>
            <w:r>
              <w:rPr>
                <w:rFonts w:ascii="Times New Roman" w:cs="Times New Roman" w:eastAsia="Times New Roman" w:hAnsi="Times New Roman"/>
                <w:sz w:val="31"/>
                <w:szCs w:val="31"/>
                <w:color w:val="0000FF"/>
                <w:vertAlign w:val="subscript"/>
              </w:rPr>
              <w:t>D</w:t>
            </w:r>
            <w:r>
              <w:rPr>
                <w:rFonts w:ascii="Times New Roman" w:cs="Times New Roman" w:eastAsia="Times New Roman" w:hAnsi="Times New Roman"/>
                <w:sz w:val="10"/>
                <w:szCs w:val="10"/>
                <w:color w:val="008000"/>
              </w:rPr>
              <w:t>(4)</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Units</w:t>
            </w:r>
            <w:r>
              <w:rPr>
                <w:rFonts w:ascii="Times New Roman" w:cs="Times New Roman" w:eastAsia="Times New Roman" w:hAnsi="Times New Roman"/>
                <w:sz w:val="20"/>
                <w:szCs w:val="20"/>
                <w:color w:val="008000"/>
                <w:vertAlign w:val="superscript"/>
              </w:rPr>
              <w:t>(1)</w:t>
            </w: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gridSpan w:val="3"/>
            <w:vMerge w:val="restart"/>
          </w:tcPr>
          <w:p>
            <w:pPr>
              <w:jc w:val="right"/>
              <w:ind w:right="202"/>
              <w:spacing w:after="0"/>
              <w:rPr>
                <w:sz w:val="20"/>
                <w:szCs w:val="20"/>
                <w:color w:val="auto"/>
              </w:rPr>
            </w:pPr>
            <w:r>
              <w:rPr>
                <w:rFonts w:ascii="Times New Roman" w:cs="Times New Roman" w:eastAsia="Times New Roman" w:hAnsi="Times New Roman"/>
                <w:sz w:val="16"/>
                <w:szCs w:val="16"/>
                <w:color w:val="0000FF"/>
              </w:rPr>
              <w:t>75,851,289</w:t>
            </w:r>
          </w:p>
        </w:tc>
        <w:tc>
          <w:tcPr>
            <w:tcW w:w="300" w:type="dxa"/>
            <w:vAlign w:val="bottom"/>
          </w:tcPr>
          <w:p>
            <w:pPr>
              <w:spacing w:after="0"/>
              <w:rPr>
                <w:sz w:val="19"/>
                <w:szCs w:val="19"/>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31"/>
                <w:szCs w:val="31"/>
                <w:color w:val="0000FF"/>
                <w:vertAlign w:val="subscript"/>
              </w:rPr>
              <w:t>I</w:t>
            </w:r>
            <w:r>
              <w:rPr>
                <w:rFonts w:ascii="Times New Roman" w:cs="Times New Roman" w:eastAsia="Times New Roman" w:hAnsi="Times New Roman"/>
                <w:sz w:val="10"/>
                <w:szCs w:val="10"/>
                <w:color w:val="008000"/>
              </w:rPr>
              <w:t>(4)</w:t>
            </w: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Held by</w:t>
            </w:r>
          </w:p>
        </w:tc>
        <w:tc>
          <w:tcPr>
            <w:tcW w:w="0" w:type="dxa"/>
            <w:vAlign w:val="bottom"/>
          </w:tcPr>
          <w:p>
            <w:pPr>
              <w:spacing w:after="0"/>
              <w:rPr>
                <w:sz w:val="1"/>
                <w:szCs w:val="1"/>
                <w:color w:val="auto"/>
              </w:rPr>
            </w:pPr>
          </w:p>
        </w:tc>
      </w:tr>
      <w:tr>
        <w:trPr>
          <w:trHeight w:val="158"/>
        </w:trPr>
        <w:tc>
          <w:tcPr>
            <w:tcW w:w="66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affiliate</w:t>
            </w: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Held by</w:t>
            </w:r>
          </w:p>
        </w:tc>
        <w:tc>
          <w:tcPr>
            <w:tcW w:w="0" w:type="dxa"/>
            <w:vAlign w:val="bottom"/>
          </w:tcPr>
          <w:p>
            <w:pPr>
              <w:spacing w:after="0"/>
              <w:rPr>
                <w:sz w:val="1"/>
                <w:szCs w:val="1"/>
                <w:color w:val="auto"/>
              </w:rPr>
            </w:pPr>
          </w:p>
        </w:tc>
      </w:tr>
      <w:tr>
        <w:trPr>
          <w:trHeight w:val="194"/>
        </w:trPr>
        <w:tc>
          <w:tcPr>
            <w:tcW w:w="66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6"/>
                <w:szCs w:val="16"/>
                <w:color w:val="0000FF"/>
              </w:rPr>
              <w:t>Units</w:t>
            </w:r>
            <w:r>
              <w:rPr>
                <w:rFonts w:ascii="Times New Roman" w:cs="Times New Roman" w:eastAsia="Times New Roman" w:hAnsi="Times New Roman"/>
                <w:sz w:val="20"/>
                <w:szCs w:val="20"/>
                <w:color w:val="008000"/>
                <w:vertAlign w:val="superscript"/>
              </w:rPr>
              <w:t>(1)</w:t>
            </w: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gridSpan w:val="3"/>
          </w:tcPr>
          <w:p>
            <w:pPr>
              <w:jc w:val="right"/>
              <w:ind w:right="202"/>
              <w:spacing w:after="0"/>
              <w:rPr>
                <w:sz w:val="20"/>
                <w:szCs w:val="20"/>
                <w:color w:val="auto"/>
              </w:rPr>
            </w:pPr>
            <w:r>
              <w:rPr>
                <w:rFonts w:ascii="Times New Roman" w:cs="Times New Roman" w:eastAsia="Times New Roman" w:hAnsi="Times New Roman"/>
                <w:sz w:val="16"/>
                <w:szCs w:val="16"/>
                <w:color w:val="0000FF"/>
              </w:rPr>
              <w:t>41,934,582</w:t>
            </w:r>
          </w:p>
        </w:tc>
        <w:tc>
          <w:tcPr>
            <w:tcW w:w="300" w:type="dxa"/>
            <w:vAlign w:val="bottom"/>
          </w:tcPr>
          <w:p>
            <w:pPr>
              <w:spacing w:after="0"/>
              <w:rPr>
                <w:sz w:val="16"/>
                <w:szCs w:val="16"/>
                <w:color w:val="auto"/>
              </w:rPr>
            </w:pPr>
          </w:p>
        </w:tc>
        <w:tc>
          <w:tcPr>
            <w:tcW w:w="640" w:type="dxa"/>
            <w:vAlign w:val="bottom"/>
          </w:tcPr>
          <w:p>
            <w:pPr>
              <w:ind w:left="40"/>
              <w:spacing w:after="0" w:line="193" w:lineRule="exact"/>
              <w:rPr>
                <w:sz w:val="20"/>
                <w:szCs w:val="20"/>
                <w:color w:val="auto"/>
              </w:rPr>
            </w:pPr>
            <w:r>
              <w:rPr>
                <w:rFonts w:ascii="Times New Roman" w:cs="Times New Roman" w:eastAsia="Times New Roman" w:hAnsi="Times New Roman"/>
                <w:sz w:val="22"/>
                <w:szCs w:val="22"/>
                <w:color w:val="0000FF"/>
                <w:vertAlign w:val="subscript"/>
              </w:rPr>
              <w:t>I</w:t>
            </w:r>
            <w:r>
              <w:rPr>
                <w:rFonts w:ascii="Times New Roman" w:cs="Times New Roman" w:eastAsia="Times New Roman" w:hAnsi="Times New Roman"/>
                <w:sz w:val="9"/>
                <w:szCs w:val="9"/>
                <w:color w:val="008000"/>
              </w:rPr>
              <w:t>(4)</w:t>
            </w: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additional</w:t>
            </w: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affiliate</w:t>
            </w:r>
          </w:p>
        </w:tc>
        <w:tc>
          <w:tcPr>
            <w:tcW w:w="0" w:type="dxa"/>
            <w:vAlign w:val="bottom"/>
          </w:tcPr>
          <w:p>
            <w:pPr>
              <w:spacing w:after="0"/>
              <w:rPr>
                <w:sz w:val="1"/>
                <w:szCs w:val="1"/>
                <w:color w:val="auto"/>
              </w:rPr>
            </w:pPr>
          </w:p>
        </w:tc>
      </w:tr>
      <w:tr>
        <w:trPr>
          <w:trHeight w:val="93"/>
        </w:trPr>
        <w:tc>
          <w:tcPr>
            <w:tcW w:w="1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gridSpan w:val="3"/>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gridSpan w:val="3"/>
          </w:tcPr>
          <w:p>
            <w:pPr>
              <w:spacing w:after="0"/>
              <w:rPr>
                <w:sz w:val="8"/>
                <w:szCs w:val="8"/>
                <w:color w:val="auto"/>
              </w:rPr>
            </w:pPr>
          </w:p>
        </w:tc>
        <w:tc>
          <w:tcPr>
            <w:tcW w:w="1880" w:type="dxa"/>
            <w:vAlign w:val="bottom"/>
            <w:tcBorders>
              <w:bottom w:val="single" w:sz="8" w:color="2C2C2C"/>
            </w:tcBorders>
            <w:gridSpan w:val="5"/>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40" w:type="dxa"/>
            <w:vAlign w:val="bottom"/>
            <w:gridSpan w:val="17"/>
          </w:tcPr>
          <w:p>
            <w:pPr>
              <w:jc w:val="center"/>
              <w:ind w:right="143"/>
              <w:spacing w:after="0"/>
              <w:rPr>
                <w:sz w:val="20"/>
                <w:szCs w:val="20"/>
                <w:color w:val="auto"/>
              </w:rPr>
            </w:pPr>
            <w:r>
              <w:rPr>
                <w:rFonts w:ascii="Arial" w:cs="Arial" w:eastAsia="Arial" w:hAnsi="Arial"/>
                <w:sz w:val="16"/>
                <w:szCs w:val="16"/>
                <w:b w:val="1"/>
                <w:bCs w:val="1"/>
                <w:color w:val="auto"/>
                <w:w w:val="98"/>
              </w:rPr>
              <w:t>Table II - Derivative Securities Acquired, Disposed of, or Beneficially Owned</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60" w:type="dxa"/>
            <w:vAlign w:val="bottom"/>
            <w:gridSpan w:val="14"/>
          </w:tcPr>
          <w:p>
            <w:pPr>
              <w:jc w:val="center"/>
              <w:ind w:right="359"/>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2"/>
          </w:tcPr>
          <w:p>
            <w:pPr>
              <w:ind w:left="14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600" w:type="dxa"/>
            <w:vAlign w:val="bottom"/>
            <w:gridSpan w:val="3"/>
          </w:tcPr>
          <w:p>
            <w:pPr>
              <w:ind w:left="180"/>
              <w:spacing w:after="0"/>
              <w:rPr>
                <w:sz w:val="20"/>
                <w:szCs w:val="20"/>
                <w:color w:val="auto"/>
              </w:rPr>
            </w:pPr>
            <w:r>
              <w:rPr>
                <w:rFonts w:ascii="Arial" w:cs="Arial" w:eastAsia="Arial" w:hAnsi="Arial"/>
                <w:sz w:val="11"/>
                <w:szCs w:val="11"/>
                <w:b w:val="1"/>
                <w:bCs w:val="1"/>
                <w:color w:val="auto"/>
              </w:rPr>
              <w:t>6. Date Exercisable and</w:t>
            </w:r>
          </w:p>
        </w:tc>
        <w:tc>
          <w:tcPr>
            <w:tcW w:w="112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0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5"/>
              </w:rPr>
              <w:t>Conversion</w:t>
            </w:r>
          </w:p>
        </w:tc>
        <w:tc>
          <w:tcPr>
            <w:tcW w:w="1100" w:type="dxa"/>
            <w:vAlign w:val="bottom"/>
            <w:gridSpan w:val="2"/>
          </w:tcPr>
          <w:p>
            <w:pPr>
              <w:ind w:left="140"/>
              <w:spacing w:after="0" w:line="121"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18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Derivative Securities</w:t>
            </w:r>
          </w:p>
        </w:tc>
        <w:tc>
          <w:tcPr>
            <w:tcW w:w="1600" w:type="dxa"/>
            <w:vAlign w:val="bottom"/>
            <w:gridSpan w:val="3"/>
          </w:tcPr>
          <w:p>
            <w:pPr>
              <w:ind w:left="180"/>
              <w:spacing w:after="0" w:line="121" w:lineRule="exact"/>
              <w:rPr>
                <w:sz w:val="20"/>
                <w:szCs w:val="20"/>
                <w:color w:val="auto"/>
              </w:rPr>
            </w:pPr>
            <w:r>
              <w:rPr>
                <w:rFonts w:ascii="Arial" w:cs="Arial" w:eastAsia="Arial" w:hAnsi="Arial"/>
                <w:sz w:val="11"/>
                <w:szCs w:val="11"/>
                <w:b w:val="1"/>
                <w:bCs w:val="1"/>
                <w:color w:val="auto"/>
              </w:rPr>
              <w:t>Expiration Date</w:t>
            </w:r>
          </w:p>
        </w:tc>
        <w:tc>
          <w:tcPr>
            <w:tcW w:w="11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of Securities</w:t>
            </w: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60"/>
              <w:spacing w:after="0" w:line="121"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7"/>
              </w:rPr>
              <w:t>or Exercise</w:t>
            </w:r>
          </w:p>
        </w:tc>
        <w:tc>
          <w:tcPr>
            <w:tcW w:w="1100" w:type="dxa"/>
            <w:vAlign w:val="bottom"/>
            <w:gridSpan w:val="2"/>
          </w:tcPr>
          <w:p>
            <w:pPr>
              <w:ind w:left="140"/>
              <w:spacing w:after="0" w:line="121"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18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Acquired (A) or</w:t>
            </w:r>
          </w:p>
        </w:tc>
        <w:tc>
          <w:tcPr>
            <w:tcW w:w="1600" w:type="dxa"/>
            <w:vAlign w:val="bottom"/>
            <w:gridSpan w:val="3"/>
          </w:tcPr>
          <w:p>
            <w:pPr>
              <w:ind w:left="180"/>
              <w:spacing w:after="0" w:line="121"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Underlying</w:t>
            </w: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4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w w:val="99"/>
              </w:rPr>
              <w:t>Disposed of (D) (Instr.</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7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76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6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restart"/>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restart"/>
          </w:tcPr>
          <w:p>
            <w:pPr>
              <w:ind w:left="20"/>
              <w:spacing w:after="0" w:line="121"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vMerge w:val="restart"/>
          </w:tcPr>
          <w:p>
            <w:pPr>
              <w:ind w:left="120"/>
              <w:spacing w:after="0" w:line="121"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Reported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ind w:left="180"/>
              <w:spacing w:after="0" w:line="121"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72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Expiration</w:t>
            </w:r>
          </w:p>
        </w:tc>
        <w:tc>
          <w:tcPr>
            <w:tcW w:w="360" w:type="dxa"/>
            <w:vAlign w:val="bottom"/>
          </w:tcPr>
          <w:p>
            <w:pPr>
              <w:spacing w:after="0"/>
              <w:rPr>
                <w:sz w:val="10"/>
                <w:szCs w:val="10"/>
                <w:color w:val="auto"/>
              </w:rPr>
            </w:pPr>
          </w:p>
        </w:tc>
        <w:tc>
          <w:tcPr>
            <w:tcW w:w="7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w w:val="94"/>
              </w:rPr>
              <w:t>Transaction(s)</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w w:val="91"/>
              </w:rPr>
              <w:t>(A)</w:t>
            </w:r>
          </w:p>
        </w:tc>
        <w:tc>
          <w:tcPr>
            <w:tcW w:w="1000" w:type="dxa"/>
            <w:vAlign w:val="bottom"/>
            <w:gridSpan w:val="2"/>
          </w:tcPr>
          <w:p>
            <w:pPr>
              <w:ind w:left="5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80"/>
              <w:spacing w:after="0"/>
              <w:rPr>
                <w:sz w:val="20"/>
                <w:szCs w:val="20"/>
                <w:color w:val="auto"/>
              </w:rPr>
            </w:pPr>
            <w:r>
              <w:rPr>
                <w:rFonts w:ascii="Arial" w:cs="Arial" w:eastAsia="Arial" w:hAnsi="Arial"/>
                <w:sz w:val="11"/>
                <w:szCs w:val="11"/>
                <w:b w:val="1"/>
                <w:bCs w:val="1"/>
                <w:color w:val="auto"/>
                <w:w w:val="94"/>
              </w:rPr>
              <w:t>Exercisable</w:t>
            </w:r>
          </w:p>
        </w:tc>
        <w:tc>
          <w:tcPr>
            <w:tcW w:w="100" w:type="dxa"/>
            <w:vAlign w:val="bottom"/>
          </w:tcPr>
          <w:p>
            <w:pPr>
              <w:spacing w:after="0"/>
              <w:rPr>
                <w:sz w:val="12"/>
                <w:szCs w:val="12"/>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6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w w:val="96"/>
              </w:rPr>
              <w:t>(Instr. 4)</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Exchange</w:t>
            </w:r>
          </w:p>
        </w:tc>
        <w:tc>
          <w:tcPr>
            <w:tcW w:w="660" w:type="dxa"/>
            <w:vAlign w:val="bottom"/>
            <w:vMerge w:val="restart"/>
          </w:tcPr>
          <w:p>
            <w:pPr>
              <w:ind w:left="3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color w:val="0000FF"/>
              </w:rPr>
              <w:t>07/10/2025</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vMerge w:val="restart"/>
          </w:tcPr>
          <w:p>
            <w:pPr>
              <w:ind w:left="180"/>
              <w:spacing w:after="0"/>
              <w:rPr>
                <w:sz w:val="20"/>
                <w:szCs w:val="20"/>
                <w:color w:val="auto"/>
              </w:rPr>
            </w:pPr>
            <w:r>
              <w:rPr>
                <w:rFonts w:ascii="Times New Roman" w:cs="Times New Roman" w:eastAsia="Times New Roman" w:hAnsi="Times New Roman"/>
                <w:sz w:val="12"/>
                <w:szCs w:val="12"/>
                <w:color w:val="0000FF"/>
              </w:rPr>
              <w:t>J</w:t>
            </w: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14,894,140</w:t>
            </w:r>
          </w:p>
        </w:tc>
        <w:tc>
          <w:tcPr>
            <w:tcW w:w="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00FF"/>
              </w:rPr>
              <w:t>07/10/2025</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color w:val="0000FF"/>
              </w:rPr>
              <w:t>07/10/2025</w:t>
            </w:r>
          </w:p>
        </w:tc>
        <w:tc>
          <w:tcPr>
            <w:tcW w:w="36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w w:val="99"/>
              </w:rPr>
              <w:t>14,894,140</w:t>
            </w:r>
          </w:p>
        </w:tc>
        <w:tc>
          <w:tcPr>
            <w:tcW w:w="740" w:type="dxa"/>
            <w:vAlign w:val="bottom"/>
            <w:gridSpan w:val="2"/>
            <w:vMerge w:val="restart"/>
          </w:tcPr>
          <w:p>
            <w:pPr>
              <w:jc w:val="right"/>
              <w:ind w:right="2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60" w:type="dxa"/>
            <w:vAlign w:val="bottom"/>
            <w:gridSpan w:val="2"/>
            <w:vMerge w:val="restart"/>
          </w:tcPr>
          <w:p>
            <w:pPr>
              <w:jc w:val="right"/>
              <w:ind w:right="45"/>
              <w:spacing w:after="0"/>
              <w:rPr>
                <w:sz w:val="20"/>
                <w:szCs w:val="20"/>
                <w:color w:val="auto"/>
              </w:rPr>
            </w:pPr>
            <w:r>
              <w:rPr>
                <w:rFonts w:ascii="Times New Roman" w:cs="Times New Roman" w:eastAsia="Times New Roman" w:hAnsi="Times New Roman"/>
                <w:sz w:val="12"/>
                <w:szCs w:val="12"/>
                <w:color w:val="0000FF"/>
              </w:rPr>
              <w:t>19,682,946</w:t>
            </w:r>
          </w:p>
        </w:tc>
        <w:tc>
          <w:tcPr>
            <w:tcW w:w="64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66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7"/>
                <w:szCs w:val="7"/>
                <w:color w:val="0000FF"/>
                <w:vertAlign w:val="subscript"/>
              </w:rPr>
              <w:t>Right</w:t>
            </w:r>
            <w:r>
              <w:rPr>
                <w:rFonts w:ascii="Times New Roman" w:cs="Times New Roman" w:eastAsia="Times New Roman" w:hAnsi="Times New Roman"/>
                <w:sz w:val="6"/>
                <w:szCs w:val="6"/>
                <w:color w:val="008000"/>
              </w:rPr>
              <w:t>(2)(3)</w:t>
            </w:r>
          </w:p>
        </w:tc>
        <w:tc>
          <w:tcPr>
            <w:tcW w:w="66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Exchange</w:t>
            </w:r>
          </w:p>
        </w:tc>
        <w:tc>
          <w:tcPr>
            <w:tcW w:w="660" w:type="dxa"/>
            <w:vAlign w:val="bottom"/>
            <w:vMerge w:val="restart"/>
          </w:tcPr>
          <w:p>
            <w:pPr>
              <w:ind w:left="3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color w:val="0000FF"/>
              </w:rPr>
              <w:t>07/10/2025</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vMerge w:val="restart"/>
          </w:tcPr>
          <w:p>
            <w:pPr>
              <w:ind w:left="180"/>
              <w:spacing w:after="0"/>
              <w:rPr>
                <w:sz w:val="20"/>
                <w:szCs w:val="20"/>
                <w:color w:val="auto"/>
              </w:rPr>
            </w:pPr>
            <w:r>
              <w:rPr>
                <w:rFonts w:ascii="Times New Roman" w:cs="Times New Roman" w:eastAsia="Times New Roman" w:hAnsi="Times New Roman"/>
                <w:sz w:val="12"/>
                <w:szCs w:val="12"/>
                <w:color w:val="0000FF"/>
              </w:rPr>
              <w:t>J</w:t>
            </w:r>
          </w:p>
        </w:tc>
        <w:tc>
          <w:tcPr>
            <w:tcW w:w="180" w:type="dxa"/>
            <w:vAlign w:val="bottom"/>
          </w:tcPr>
          <w:p>
            <w:pPr>
              <w:spacing w:after="0"/>
              <w:rPr>
                <w:sz w:val="14"/>
                <w:szCs w:val="14"/>
                <w:color w:val="auto"/>
              </w:rPr>
            </w:pPr>
          </w:p>
        </w:tc>
        <w:tc>
          <w:tcPr>
            <w:tcW w:w="1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color w:val="0000FF"/>
              </w:rPr>
              <w:t>19,682,946   07/10/2025</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color w:val="0000FF"/>
              </w:rPr>
              <w:t>07/10/2025</w:t>
            </w:r>
          </w:p>
        </w:tc>
        <w:tc>
          <w:tcPr>
            <w:tcW w:w="36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w w:val="99"/>
              </w:rPr>
              <w:t>19,682,946</w:t>
            </w:r>
          </w:p>
        </w:tc>
        <w:tc>
          <w:tcPr>
            <w:tcW w:w="740" w:type="dxa"/>
            <w:vAlign w:val="bottom"/>
            <w:gridSpan w:val="2"/>
            <w:vMerge w:val="restart"/>
          </w:tcPr>
          <w:p>
            <w:pPr>
              <w:jc w:val="right"/>
              <w:ind w:right="2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00FF"/>
              </w:rPr>
              <w:t>0</w:t>
            </w:r>
          </w:p>
        </w:tc>
        <w:tc>
          <w:tcPr>
            <w:tcW w:w="300" w:type="dxa"/>
            <w:vAlign w:val="bottom"/>
          </w:tcPr>
          <w:p>
            <w:pPr>
              <w:spacing w:after="0"/>
              <w:rPr>
                <w:sz w:val="14"/>
                <w:szCs w:val="14"/>
                <w:color w:val="auto"/>
              </w:rPr>
            </w:pPr>
          </w:p>
        </w:tc>
        <w:tc>
          <w:tcPr>
            <w:tcW w:w="64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66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7"/>
                <w:szCs w:val="7"/>
                <w:color w:val="0000FF"/>
                <w:vertAlign w:val="subscript"/>
              </w:rPr>
              <w:t>Right</w:t>
            </w:r>
            <w:r>
              <w:rPr>
                <w:rFonts w:ascii="Times New Roman" w:cs="Times New Roman" w:eastAsia="Times New Roman" w:hAnsi="Times New Roman"/>
                <w:sz w:val="6"/>
                <w:szCs w:val="6"/>
                <w:color w:val="008000"/>
              </w:rPr>
              <w:t>(2)(3)</w:t>
            </w:r>
          </w:p>
        </w:tc>
        <w:tc>
          <w:tcPr>
            <w:tcW w:w="66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180" w:type="dxa"/>
            <w:vAlign w:val="bottom"/>
          </w:tcPr>
          <w:p>
            <w:pPr>
              <w:spacing w:after="0"/>
              <w:rPr>
                <w:sz w:val="3"/>
                <w:szCs w:val="3"/>
                <w:color w:val="auto"/>
              </w:rPr>
            </w:pPr>
          </w:p>
        </w:tc>
        <w:tc>
          <w:tcPr>
            <w:tcW w:w="1780" w:type="dxa"/>
            <w:vAlign w:val="bottom"/>
            <w:gridSpan w:val="3"/>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-1619885</wp:posOffset>
            </wp:positionV>
            <wp:extent cx="27940" cy="1624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162496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0"/>
          <w:szCs w:val="20"/>
          <w:color w:val="auto"/>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Units Representing Assignments of Beneficial Ownership of Limited Partnership Interests ("AB Units") in AllianceBernstein L.P. ("AB").</w:t>
      </w:r>
    </w:p>
    <w:p>
      <w:pPr>
        <w:spacing w:after="0" w:line="43" w:lineRule="exact"/>
        <w:rPr>
          <w:rFonts w:ascii="Times New Roman" w:cs="Times New Roman" w:eastAsia="Times New Roman" w:hAnsi="Times New Roman"/>
          <w:sz w:val="12"/>
          <w:szCs w:val="12"/>
          <w:color w:val="008000"/>
        </w:rPr>
      </w:pPr>
    </w:p>
    <w:p>
      <w:pPr>
        <w:ind w:left="40" w:right="200" w:hanging="7"/>
        <w:spacing w:after="0" w:line="243"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As previously disclosed by the Reporting Person ("EQH") on a Form 4 filed with the Securities and Exchange Commission on December 19, 2024, EQH and AB entered into a Master Exchange Agreement (the "Exchange Agreement") providing for the issuance by AB of up to 10,000,000 AB Units to EQH and any of its wholly-owned subsidiaries in exchange for an equal number of units representing assignments of beneficial ownership of limited partnership interests in AllianceBernstein Holding L.P. ("AB Holding Units") owned by EQH or any such subsidiary. At the time the Exchange Agreement was entered into, AB and EQH exchanged 5,211,194 AB Holding Units for AB Units (thereby reducing the 10,000,000 AB Units available for future exchange to 4,788,806 AB Units), and the acquired AB Holding Units were retired.</w:t>
      </w:r>
    </w:p>
    <w:p>
      <w:pPr>
        <w:spacing w:after="0" w:line="22" w:lineRule="exact"/>
        <w:rPr>
          <w:rFonts w:ascii="Times New Roman" w:cs="Times New Roman" w:eastAsia="Times New Roman" w:hAnsi="Times New Roman"/>
          <w:sz w:val="12"/>
          <w:szCs w:val="12"/>
          <w:color w:val="008000"/>
        </w:rPr>
      </w:pPr>
    </w:p>
    <w:p>
      <w:pPr>
        <w:ind w:left="40" w:right="140" w:hanging="7"/>
        <w:spacing w:after="0" w:line="249"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July 10, 2025, AB entered in an Amended and Restated Exchange Agreement (the "Amended Exchange Agreement") to increase the AB Units that remain available for exchange from 4,788,806 AB Units to 19,682,946 AB Units. At the time the Amended Exchange Agreement was entered into, AB and EQH exchanged 19,682,946 AB Holding Units for AB Units and the acquired AB Holding Units were retired. For more information concerning EQH's holdings of AB Holding Units, see its separate Form 4 filing with respect to AB Holding Units.</w:t>
      </w:r>
    </w:p>
    <w:p>
      <w:pPr>
        <w:spacing w:after="0" w:line="18" w:lineRule="exact"/>
        <w:rPr>
          <w:rFonts w:ascii="Times New Roman" w:cs="Times New Roman" w:eastAsia="Times New Roman" w:hAnsi="Times New Roman"/>
          <w:sz w:val="12"/>
          <w:szCs w:val="12"/>
          <w:color w:val="008000"/>
        </w:rPr>
      </w:pPr>
    </w:p>
    <w:p>
      <w:pPr>
        <w:ind w:left="40" w:right="220" w:hanging="7"/>
        <w:spacing w:after="0" w:line="249"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Prior to the exchange, EQH beneficially owned directly 61,762,208 AB Units and beneficially owned indirectly 75,851,289 AB Units beneficially owned directly by Alpha Units Holdings, Inc., a wholly-owned subsidiary of EQH, and beneficially owned indirectly 41,934,582 AB Units beneficially owned directly by Alpha Units Holdings II, Inc, also a wholly-owned subsidiary of EQH. For more information on the Reporting Person's affiliates' holdings of AB Units, see their separate Form 4 filings with respect to AB Units.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008000"/>
        </w:rPr>
        <w:t>Affiliate of holder of general partnership units.</w:t>
      </w:r>
    </w:p>
    <w:p>
      <w:pPr>
        <w:spacing w:after="0" w:line="6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Michael Brudoley,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2541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54125" cy="7620"/>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Secretary, Equitable Holdings,</w:t>
      </w:r>
      <w:r>
        <w:rPr>
          <w:sz w:val="20"/>
          <w:szCs w:val="20"/>
          <w:color w:val="auto"/>
        </w:rPr>
        <w:tab/>
      </w:r>
      <w:r>
        <w:rPr>
          <w:rFonts w:ascii="Times New Roman" w:cs="Times New Roman" w:eastAsia="Times New Roman" w:hAnsi="Times New Roman"/>
          <w:sz w:val="15"/>
          <w:szCs w:val="15"/>
          <w:color w:val="0000FF"/>
        </w:rPr>
        <w:t>07/14/2025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18554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5547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1524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52400" cy="7620"/>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40" w:right="4060" w:hanging="7"/>
        <w:spacing w:after="0" w:line="316" w:lineRule="auto"/>
        <w:tabs>
          <w:tab w:leader="none" w:pos="168"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33986" TargetMode="External"/><Relationship Id="rId14" Type="http://schemas.openxmlformats.org/officeDocument/2006/relationships/hyperlink" Target="http://www.sec.gov/cgi-bin/browse-edgar?action=getcompany&amp;CIK=00011094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2025-07-14T08:37:57Z</dcterms:created>
  <dcterms:modified xsi:type="dcterms:W3CDTF">2025-07-14T08:37:57Z</dcterms:modified>
</cp:coreProperties>
</file>