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675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675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Equitable Holdings, Inc.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ALLIANCEBERNSTEIN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NONE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277" w:lineRule="exact"/>
        <w:rPr>
          <w:sz w:val="24"/>
          <w:szCs w:val="24"/>
          <w:color w:val="auto"/>
        </w:rPr>
      </w:pPr>
    </w:p>
    <w:p>
      <w:pPr>
        <w:sectPr>
          <w:pgSz w:w="11900" w:h="16838" w:orient="portrait"/>
          <w:cols w:equalWidth="0" w:num="3">
            <w:col w:w="3200" w:space="720"/>
            <w:col w:w="3280" w:space="540"/>
            <w:col w:w="3340"/>
          </w:cols>
          <w:pgMar w:left="460" w:top="217" w:right="359" w:bottom="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780" w:type="dxa"/>
            <w:vAlign w:val="bottom"/>
            <w:gridSpan w:val="8"/>
            <w:vMerge w:val="restart"/>
          </w:tcPr>
          <w:p>
            <w:pPr>
              <w:jc w:val="center"/>
              <w:ind w:right="131"/>
              <w:spacing w:after="0"/>
              <w:rPr>
                <w:sz w:val="20"/>
                <w:szCs w:val="20"/>
                <w:color w:val="auto"/>
              </w:rPr>
            </w:pPr>
            <w:r>
              <w:rPr>
                <w:rFonts w:ascii="Arial" w:cs="Arial" w:eastAsia="Arial" w:hAnsi="Arial"/>
                <w:sz w:val="13"/>
                <w:szCs w:val="13"/>
                <w:color w:val="auto"/>
                <w:w w:val="98"/>
              </w:rPr>
              <w:t>4. If Amendment, Date of Original Filed (Month/Day/Year)</w:t>
            </w: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80" w:type="dxa"/>
            <w:vAlign w:val="bottom"/>
            <w:gridSpan w:val="8"/>
            <w:vMerge w:val="continue"/>
          </w:tcPr>
          <w:p>
            <w:pPr>
              <w:spacing w:after="0"/>
              <w:rPr>
                <w:sz w:val="10"/>
                <w:szCs w:val="10"/>
                <w:color w:val="auto"/>
              </w:rPr>
            </w:pPr>
          </w:p>
        </w:tc>
        <w:tc>
          <w:tcPr>
            <w:tcW w:w="35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gridSpan w:val="2"/>
          </w:tcPr>
          <w:p>
            <w:pPr>
              <w:ind w:left="20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7"/>
                <w:szCs w:val="17"/>
                <w:color w:val="0000FF"/>
              </w:rPr>
              <w:t>10/29/2025</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(2)(3)</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440" w:type="dxa"/>
            <w:vAlign w:val="bottom"/>
            <w:tcBorders>
              <w:bottom w:val="single" w:sz="8" w:color="2C2C2C"/>
            </w:tcBorders>
          </w:tcPr>
          <w:p>
            <w:pPr>
              <w:jc w:val="right"/>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81,445,154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4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(4)</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7"/>
                <w:szCs w:val="17"/>
                <w:color w:val="0000FF"/>
              </w:rPr>
              <w:t>75,851,289</w:t>
            </w:r>
          </w:p>
        </w:tc>
        <w:tc>
          <w:tcPr>
            <w:tcW w:w="260" w:type="dxa"/>
            <w:vAlign w:val="bottom"/>
          </w:tcPr>
          <w:p>
            <w:pPr>
              <w:spacing w:after="0"/>
              <w:rPr>
                <w:sz w:val="21"/>
                <w:szCs w:val="2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(4)</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affiliate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7"/>
                <w:szCs w:val="17"/>
                <w:color w:val="0000FF"/>
              </w:rPr>
              <w:t>Units</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41,934,582</w:t>
            </w:r>
          </w:p>
        </w:tc>
        <w:tc>
          <w:tcPr>
            <w:tcW w:w="260" w:type="dxa"/>
            <w:vAlign w:val="bottom"/>
          </w:tcPr>
          <w:p>
            <w:pPr>
              <w:spacing w:after="0"/>
              <w:rPr>
                <w:sz w:val="17"/>
                <w:szCs w:val="17"/>
                <w:color w:val="auto"/>
              </w:rPr>
            </w:pPr>
          </w:p>
        </w:tc>
        <w:tc>
          <w:tcPr>
            <w:tcW w:w="680" w:type="dxa"/>
            <w:vAlign w:val="bottom"/>
          </w:tcPr>
          <w:p>
            <w:pPr>
              <w:ind w:left="60"/>
              <w:spacing w:after="0" w:line="207"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9"/>
                <w:szCs w:val="9"/>
                <w:color w:val="008000"/>
              </w:rPr>
              <w:t>(4)</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additional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affiliate</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1"/>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60" w:type="dxa"/>
            <w:vAlign w:val="bottom"/>
          </w:tcPr>
          <w:p>
            <w:pPr>
              <w:spacing w:after="0"/>
              <w:rPr>
                <w:sz w:val="11"/>
                <w:szCs w:val="11"/>
                <w:color w:val="auto"/>
              </w:rPr>
            </w:pPr>
          </w:p>
        </w:tc>
        <w:tc>
          <w:tcPr>
            <w:tcW w:w="1540" w:type="dxa"/>
            <w:vAlign w:val="bottom"/>
            <w:tcBorders>
              <w:right w:val="single" w:sz="8" w:color="2C2C2C"/>
            </w:tcBorders>
            <w:gridSpan w:val="4"/>
          </w:tcPr>
          <w:p>
            <w:pPr>
              <w:ind w:left="12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60" w:type="dxa"/>
            <w:vAlign w:val="bottom"/>
          </w:tcPr>
          <w:p>
            <w:pPr>
              <w:spacing w:after="0"/>
              <w:rPr>
                <w:sz w:val="11"/>
                <w:szCs w:val="11"/>
                <w:color w:val="auto"/>
              </w:rPr>
            </w:pP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260" w:type="dxa"/>
            <w:vAlign w:val="bottom"/>
          </w:tcPr>
          <w:p>
            <w:pPr>
              <w:spacing w:after="0"/>
              <w:rPr>
                <w:sz w:val="11"/>
                <w:szCs w:val="11"/>
                <w:color w:val="auto"/>
              </w:rPr>
            </w:pPr>
          </w:p>
        </w:tc>
        <w:tc>
          <w:tcPr>
            <w:tcW w:w="1540" w:type="dxa"/>
            <w:vAlign w:val="bottom"/>
            <w:tcBorders>
              <w:right w:val="single" w:sz="8" w:color="2C2C2C"/>
            </w:tcBorders>
            <w:gridSpan w:val="4"/>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jc w:val="center"/>
              <w:ind w:right="3"/>
              <w:spacing w:after="0"/>
              <w:rPr>
                <w:sz w:val="20"/>
                <w:szCs w:val="20"/>
                <w:color w:val="auto"/>
              </w:rPr>
            </w:pPr>
            <w:r>
              <w:rPr>
                <w:rFonts w:ascii="Arial" w:cs="Arial" w:eastAsia="Arial" w:hAnsi="Arial"/>
                <w:sz w:val="12"/>
                <w:szCs w:val="12"/>
                <w:b w:val="1"/>
                <w:bCs w:val="1"/>
                <w:color w:val="auto"/>
                <w:w w:val="98"/>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Exchange</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5"/>
                <w:szCs w:val="15"/>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10/29/2025</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J</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w:t>
            </w: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7"/>
              </w:rPr>
              <w:t>07/10/2025</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07/10/2025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2"/>
              </w:rPr>
              <w:t>Units</w:t>
            </w: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14,894,140</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5"/>
                <w:szCs w:val="15"/>
                <w:color w:val="auto"/>
              </w:rPr>
            </w:pP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8"/>
                <w:szCs w:val="8"/>
                <w:color w:val="0000FF"/>
                <w:vertAlign w:val="subscript"/>
              </w:rPr>
              <w:t>Right</w:t>
            </w:r>
            <w:r>
              <w:rPr>
                <w:rFonts w:ascii="Times New Roman" w:cs="Times New Roman" w:eastAsia="Times New Roman" w:hAnsi="Times New Roman"/>
                <w:sz w:val="6"/>
                <w:szCs w:val="6"/>
                <w:color w:val="008000"/>
              </w:rPr>
              <w:t>(2)(3)</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Exchange</w:t>
            </w: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5"/>
                <w:szCs w:val="15"/>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10/29/2025</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J</w:t>
            </w: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3"/>
                <w:szCs w:val="13"/>
                <w:color w:val="0000FF"/>
              </w:rPr>
              <w:t>0</w:t>
            </w:r>
          </w:p>
        </w:tc>
        <w:tc>
          <w:tcPr>
            <w:tcW w:w="84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7"/>
              </w:rPr>
              <w:t>07/10/2025</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07/10/2025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2"/>
              </w:rPr>
              <w:t>Units</w:t>
            </w: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19,682,946</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5"/>
                <w:szCs w:val="15"/>
                <w:color w:val="auto"/>
              </w:rPr>
            </w:pP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8"/>
                <w:szCs w:val="8"/>
                <w:color w:val="0000FF"/>
                <w:vertAlign w:val="subscript"/>
              </w:rPr>
              <w:t>Right</w:t>
            </w:r>
            <w:r>
              <w:rPr>
                <w:rFonts w:ascii="Times New Roman" w:cs="Times New Roman" w:eastAsia="Times New Roman" w:hAnsi="Times New Roman"/>
                <w:sz w:val="6"/>
                <w:szCs w:val="6"/>
                <w:color w:val="008000"/>
              </w:rPr>
              <w:t>(2)(3)</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-2132965</wp:posOffset>
            </wp:positionV>
            <wp:extent cx="29210" cy="2138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1380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Representing Assignments of Beneficial Ownership of Limited Partnership Interests ("AB Units") in AllianceBernstein L.P. ("AB").</w:t>
      </w:r>
    </w:p>
    <w:p>
      <w:pPr>
        <w:spacing w:after="0" w:line="43" w:lineRule="exact"/>
        <w:rPr>
          <w:rFonts w:ascii="Times New Roman" w:cs="Times New Roman" w:eastAsia="Times New Roman" w:hAnsi="Times New Roman"/>
          <w:sz w:val="13"/>
          <w:szCs w:val="13"/>
          <w:color w:val="008000"/>
        </w:rPr>
      </w:pPr>
    </w:p>
    <w:p>
      <w:pPr>
        <w:ind w:left="40" w:right="16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previously disclosed by the Reporting Person ("EQH") on a Form 4 filed with the Securities and Exchange Commission on December 19, 2024, EQH and AB entered into a Master Exchange Agreement (the "Exchange Agreement") providing for the issuance by AB of up to 10,000,000 AB Units to EQH and any of its wholly-owned subsidiaries in exchange for an equal number of units representing assignments of beneficial ownership of limited partnership interests in AllianceBernstein Holding L.P. ("AB Holding Units") owned by EQH or any such subsidiary. At the time the Exchange Agreement was entered into, AB and EQH exchanged 5,211,194 AB Holding Units for AB Units (thereby reducing the 10,000,000 AB Units available for future exchange to 4,788,806 AB Units), and the acquired AB Holding Units were retired.</w:t>
      </w:r>
    </w:p>
    <w:p>
      <w:pPr>
        <w:spacing w:after="0" w:line="28"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10, 2025, AB entered in an Amended and Restated Exchange Agreement (the "Amended Exchange Agreement") to increase the AB Units that remain available for exchange from 4,788,806 AB Units to 19,682,946 AB Units. At the time the Amended Exchange Agreement was entered into, AB and EQH exchanged 19,682,946 AB Holding Units for AB Units and the acquired AB Holding Units were retired. For more information concerning EQH's holdings of AB Holding Units, see its separate Form 4 filing with respect to AB Holding Units.</w:t>
      </w:r>
    </w:p>
    <w:p>
      <w:pPr>
        <w:spacing w:after="0" w:line="26"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Prior to the exchange, EQH beneficially owned directly 61,762,208 AB Units and beneficially owned indirectly 75,851,289 AB Units beneficially owned directly by Alpha Units Holdings, Inc., a wholly-owned subsidiary of EQH, and beneficially owned indirectly 41,934,582 AB Units beneficially owned directly by Alpha Units Holdings II, Inc, also a wholly-owned subsidiary of EQH. For more information on the Reporting Person's affiliates' holdings of AB Units, see their separate Form 4 filings with respect to AB Units.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Affiliate of holder of general partnership units.</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Brudoley,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35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Secretary, Equitable Holdings,</w:t>
      </w:r>
      <w:r>
        <w:rPr>
          <w:sz w:val="20"/>
          <w:szCs w:val="20"/>
          <w:color w:val="auto"/>
        </w:rPr>
        <w:tab/>
      </w:r>
      <w:r>
        <w:rPr>
          <w:rFonts w:ascii="Times New Roman" w:cs="Times New Roman" w:eastAsia="Times New Roman" w:hAnsi="Times New Roman"/>
          <w:sz w:val="16"/>
          <w:szCs w:val="16"/>
          <w:color w:val="0000FF"/>
        </w:rPr>
        <w:t>07/14/2025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62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33986" TargetMode="External"/><Relationship Id="rId14" Type="http://schemas.openxmlformats.org/officeDocument/2006/relationships/hyperlink" Target="http://www.sec.gov/cgi-bin/browse-edgar?action=getcompany&amp;CIK=000110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2026-02-13T20:00:56Z</dcterms:created>
  <dcterms:modified xsi:type="dcterms:W3CDTF">2026-02-13T20:00:56Z</dcterms:modified>
</cp:coreProperties>
</file>