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BV Financial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AllianceBernstein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764,934.00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764,934.00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764,934.00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8.8 %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40"/>
        <w:gridCol w:w="9110"/>
        <w:gridCol w:w="155"/>
      </w:tblGrid>
      <w:tr>
        <w:trPr/>
        <w:tc>
          <w:tcPr>
            <w:tcW w:w="940" w:type="dxa"/>
            <w:tcBorders/>
            <w:vAlign w:val="center"/>
          </w:tcPr>
          <w:p>
            <w:pPr>
              <w:pStyle w:val="TableContents"/>
              <w:bidi w:val="0"/>
              <w:spacing w:before="0" w:after="283"/>
              <w:jc w:val="left"/>
              <w:rPr/>
            </w:pPr>
            <w:r>
              <w:rPr/>
              <w:t>Item 1.</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issuer: </w:t>
            </w:r>
          </w:p>
          <w:p>
            <w:pPr>
              <w:pStyle w:val="TableContents"/>
              <w:bidi w:val="0"/>
              <w:spacing w:before="0" w:after="0"/>
              <w:jc w:val="left"/>
              <w:rPr/>
            </w:pPr>
            <w:r>
              <w:rPr/>
              <w:t>BV Financial Inc</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7114 NORTH POINT ROAD, BALTIMORE, MD 21219</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2.</w:t>
            </w:r>
          </w:p>
        </w:tc>
        <w:tc>
          <w:tcPr>
            <w:tcW w:w="911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Name of person filing: </w:t>
            </w:r>
          </w:p>
          <w:p>
            <w:pPr>
              <w:pStyle w:val="TableContents"/>
              <w:bidi w:val="0"/>
              <w:spacing w:before="0" w:after="0"/>
              <w:jc w:val="left"/>
              <w:rPr/>
            </w:pPr>
            <w:r>
              <w:rPr/>
              <w:t>AllianceBernstein L.P. ("AllianceBernstein L.P.")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501 Commerce Street, Nashville, TN 37203 All media outlets, please contact Jennifer Will at AllianceBernstein (212-969-1157) with any questions. All other questions can be directed to Section13USFilings@alliancebernstein.com.</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3.</w:t>
            </w:r>
          </w:p>
        </w:tc>
        <w:tc>
          <w:tcPr>
            <w:tcW w:w="911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(d)</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(e)</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(f)</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(g)</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(h)</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(j)</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(k)</w:t>
            </w:r>
          </w:p>
        </w:tc>
        <w:tc>
          <w:tcPr>
            <w:tcW w:w="911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265" w:type="dxa"/>
            <w:gridSpan w:val="2"/>
            <w:tcBorders/>
            <w:vAlign w:val="center"/>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4.</w:t>
            </w:r>
          </w:p>
        </w:tc>
        <w:tc>
          <w:tcPr>
            <w:tcW w:w="911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(a)</w:t>
            </w:r>
          </w:p>
        </w:tc>
        <w:tc>
          <w:tcPr>
            <w:tcW w:w="911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764,934 shares acquired solely for investment purposes on behalf of client discretionary investment advisory accounts.* *AllianceBernstein L.P. is a majority owned subsidiary of Equitable Holdings, Inc. ("EQH"). AllianceBernstein operates under independent management and makes independent decisions from EQH and its respective subsidiaries, and EQH calculates and reports beneficial ownership separately from AllianceBernstein pursuant to guidance provided by the Securities and Exchange Commission in Release Number 34-39538 (January 12, 1998).</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(b)</w:t>
            </w:r>
          </w:p>
        </w:tc>
        <w:tc>
          <w:tcPr>
            <w:tcW w:w="911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8.8  %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(c)</w:t>
            </w:r>
          </w:p>
        </w:tc>
        <w:tc>
          <w:tcPr>
            <w:tcW w:w="911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764,934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764,934</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5.</w:t>
            </w:r>
          </w:p>
        </w:tc>
        <w:tc>
          <w:tcPr>
            <w:tcW w:w="911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6.</w:t>
            </w:r>
          </w:p>
        </w:tc>
        <w:tc>
          <w:tcPr>
            <w:tcW w:w="911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7.</w:t>
            </w:r>
          </w:p>
        </w:tc>
        <w:tc>
          <w:tcPr>
            <w:tcW w:w="911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8.</w:t>
            </w:r>
          </w:p>
        </w:tc>
        <w:tc>
          <w:tcPr>
            <w:tcW w:w="911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Item 9.</w:t>
            </w:r>
          </w:p>
        </w:tc>
        <w:tc>
          <w:tcPr>
            <w:tcW w:w="911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40" w:type="dxa"/>
            <w:tcBorders/>
            <w:vAlign w:val="center"/>
          </w:tcPr>
          <w:p>
            <w:pPr>
              <w:pStyle w:val="TableContents"/>
              <w:bidi w:val="0"/>
              <w:spacing w:before="0" w:after="283"/>
              <w:jc w:val="left"/>
              <w:rPr/>
            </w:pPr>
            <w:r>
              <w:rPr/>
              <w:t> </w:t>
            </w:r>
          </w:p>
        </w:tc>
        <w:tc>
          <w:tcPr>
            <w:tcW w:w="911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868" w:type="dxa"/>
        <w:jc w:val="left"/>
        <w:tblInd w:w="0" w:type="dxa"/>
        <w:tblLayout w:type="fixed"/>
        <w:tblCellMar>
          <w:top w:w="28" w:type="dxa"/>
          <w:left w:w="28" w:type="dxa"/>
          <w:bottom w:w="28" w:type="dxa"/>
          <w:right w:w="28" w:type="dxa"/>
        </w:tblCellMar>
      </w:tblPr>
      <w:tblGrid>
        <w:gridCol w:w="2434"/>
        <w:gridCol w:w="2434"/>
      </w:tblGrid>
      <w:tr>
        <w:trPr/>
        <w:tc>
          <w:tcPr>
            <w:tcW w:w="2434" w:type="dxa"/>
            <w:tcBorders/>
            <w:vAlign w:val="center"/>
          </w:tcPr>
          <w:p>
            <w:pPr>
              <w:pStyle w:val="TableContents"/>
              <w:bidi w:val="0"/>
              <w:spacing w:before="0" w:after="0"/>
              <w:jc w:val="left"/>
              <w:rPr/>
            </w:pPr>
            <w:r>
              <w:rPr/>
              <w:t> </w:t>
            </w:r>
          </w:p>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Contents"/>
                    <w:bidi w:val="0"/>
                    <w:spacing w:before="0" w:after="0"/>
                    <w:jc w:val="left"/>
                    <w:rPr/>
                  </w:pPr>
                  <w:r>
                    <w:rPr/>
                    <w:t>AllianceBernstein L.P.</w:t>
                  </w:r>
                </w:p>
              </w:tc>
            </w:tr>
          </w:tbl>
          <w:p>
            <w:pPr>
              <w:pStyle w:val="TableContents"/>
              <w:bidi w:val="0"/>
              <w:spacing w:before="0" w:after="283"/>
              <w:jc w:val="left"/>
              <w:rPr/>
            </w:pPr>
            <w:r>
              <w:rPr/>
            </w:r>
          </w:p>
        </w:tc>
        <w:tc>
          <w:tcPr>
            <w:tcW w:w="24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3"/>
        <w:gridCol w:w="4262"/>
      </w:tblGrid>
      <w:tr>
        <w:trPr/>
        <w:tc>
          <w:tcPr>
            <w:tcW w:w="594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Marcus Edwards</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AVP/ Senior Compliance Associate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804</Words>
  <Characters>4353</Characters>
  <CharactersWithSpaces>5148</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