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87"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Equitable Holdings, Inc.</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ALLIANCEBERNSTEIN L.P.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0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7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12/19/2024</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780" w:type="dxa"/>
            <w:vAlign w:val="bottom"/>
            <w:gridSpan w:val="4"/>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336" w:lineRule="exact"/>
        <w:rPr>
          <w:sz w:val="20"/>
          <w:szCs w:val="20"/>
          <w:color w:val="auto"/>
        </w:rPr>
      </w:pPr>
    </w:p>
    <w:p>
      <w:pPr>
        <w:sectPr>
          <w:pgSz w:w="11900" w:h="16887"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7"/>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7"/>
          </w:tcPr>
          <w:p>
            <w:pPr>
              <w:ind w:left="2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2"/>
                <w:szCs w:val="22"/>
                <w:color w:val="008000"/>
                <w:vertAlign w:val="superscript"/>
              </w:rPr>
              <w:t>(1)</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12/19/2024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4,215,140</w:t>
            </w:r>
          </w:p>
        </w:tc>
        <w:tc>
          <w:tcPr>
            <w:tcW w:w="4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35.59</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57,995,370</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(3)(4)</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2"/>
                <w:szCs w:val="22"/>
                <w:color w:val="008000"/>
                <w:vertAlign w:val="superscript"/>
              </w:rPr>
              <w:t>(1)</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12/19/2024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3,766,838</w:t>
            </w:r>
          </w:p>
        </w:tc>
        <w:tc>
          <w:tcPr>
            <w:tcW w:w="4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61,762,208</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(3)(4)</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2"/>
                <w:szCs w:val="22"/>
                <w:color w:val="008000"/>
                <w:vertAlign w:val="superscript"/>
              </w:rPr>
              <w:t>(1)</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75,851,289</w:t>
            </w:r>
          </w:p>
        </w:tc>
        <w:tc>
          <w:tcPr>
            <w:tcW w:w="220" w:type="dxa"/>
            <w:vAlign w:val="bottom"/>
          </w:tcPr>
          <w:p>
            <w:pPr>
              <w:spacing w:after="0"/>
              <w:rPr>
                <w:sz w:val="21"/>
                <w:szCs w:val="21"/>
                <w:color w:val="auto"/>
              </w:rPr>
            </w:pPr>
          </w:p>
        </w:tc>
        <w:tc>
          <w:tcPr>
            <w:tcW w:w="720" w:type="dxa"/>
            <w:vAlign w:val="bottom"/>
            <w:vMerge w:val="restart"/>
          </w:tcPr>
          <w:p>
            <w:pPr>
              <w:jc w:val="center"/>
              <w:ind w:right="263"/>
              <w:spacing w:after="0"/>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(3)(4)</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affiliate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2"/>
                <w:szCs w:val="22"/>
                <w:color w:val="008000"/>
                <w:vertAlign w:val="superscript"/>
              </w:rPr>
              <w:t>(1)</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41,934,582</w:t>
            </w:r>
          </w:p>
        </w:tc>
        <w:tc>
          <w:tcPr>
            <w:tcW w:w="220" w:type="dxa"/>
            <w:vAlign w:val="bottom"/>
          </w:tcPr>
          <w:p>
            <w:pPr>
              <w:spacing w:after="0"/>
              <w:rPr>
                <w:sz w:val="18"/>
                <w:szCs w:val="18"/>
                <w:color w:val="auto"/>
              </w:rPr>
            </w:pPr>
          </w:p>
        </w:tc>
        <w:tc>
          <w:tcPr>
            <w:tcW w:w="720" w:type="dxa"/>
            <w:vAlign w:val="bottom"/>
          </w:tcPr>
          <w:p>
            <w:pPr>
              <w:jc w:val="center"/>
              <w:ind w:right="263"/>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(3)(4)</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additional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affiliate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600" w:type="dxa"/>
            <w:vAlign w:val="bottom"/>
            <w:tcBorders>
              <w:right w:val="single" w:sz="8" w:color="2C2C2C"/>
            </w:tcBorders>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1600" w:type="dxa"/>
            <w:vAlign w:val="bottom"/>
            <w:tcBorders>
              <w:right w:val="single" w:sz="8" w:color="2C2C2C"/>
            </w:tcBorders>
            <w:gridSpan w:val="4"/>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Representing Assignments of Beneficial Ownership of Limited Partnership Interests ("AB Units") in AllianceBernstein L.P. ("AB").</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19, 2024, AB entered into an agreement providing for, and consummated, the sale by AB of 4,215,140 AB Units to Equitable Holdings, Inc. ("EQH") for a cash purchase price per AB Units of $35.59.</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Prior to the Sale and Exchange, EQH beneficially owned directly 53,780,230 AB Units and beneficially owned indirectly 74,406,933 AB Units beneficially owned directly by Alpha Units Holdings, Inc., a wholly-owned subsidiary of EQH, and beneficially owned indirectly 41,934,582 AB Units beneficially owned directly by Alpha Units Holdings II, Inc, also a wholly-owned subsidiary of EQH.</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AB Units reported in this Form 4, the Reporting Person and its affiliates beneficially own AB Units as follows. As of December 19, 2024, Alpha Units Holdings, Inc. beneficially owned 75,851,289 AB Units and Alpha Units Holdings II, Inc. beneficially owned directly 41,934,582 AB Units. For more information on the Reporting Person and its affiliates' holdings of AB Units, see their separate Form 4 filings with respect to AB Units.</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19, 2024, AB entered into a Master Exchange Agreement ("Exchange Agreement") providing for the issuance by AB of up to 10,000,000 AB Units to EQH and any of its wholly-owned subsidiaries in exchange for an equal number of units ("Holding Units") representing assignments of beneficial ownership of limited partnership interests in AllianceBernstein Holding L.P. owned by EQH and such subsidiary, with such exchanges to occur from time to time over the next two years. Each Holding Unit so exchanged will be retired following such exchange. At the time the Exchange Agreement was entered into, AB and EQH exchanged 3,766,838 AB Units and AB and Alpha Units Holdings, Inc. exchanged 1,444,356 AB Units, in each case for an equal number of Holding Units (thereby reducing the 10,000,000 AB Units available for future exchange), and the acquired Holding Units were retired.</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Affiliate of holder of general partnership units.</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Brudoley,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9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Assistant Secretary, Equitable  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6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8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3986" TargetMode="External"/><Relationship Id="rId14" Type="http://schemas.openxmlformats.org/officeDocument/2006/relationships/hyperlink" Target="http://www.sec.gov/cgi-bin/browse-edgar?action=getcompany&amp;CIK=000110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2024-12-19T15:50:16Z</dcterms:created>
  <dcterms:modified xsi:type="dcterms:W3CDTF">2024-12-19T15:50:16Z</dcterms:modified>
</cp:coreProperties>
</file>