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7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7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8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1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June 10, 2026</w:t>
      </w:r>
    </w:p>
    <w:p>
      <w:pPr>
        <w:spacing w:after="0" w:line="35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ALLIANCEBERNSTEIN L.P.</w:t>
      </w:r>
    </w:p>
    <w:p>
      <w:pPr>
        <w:spacing w:after="0" w:line="7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180"/>
          </w:cols>
          <w:pgMar w:left="300" w:top="1076" w:right="419" w:bottom="1440" w:gutter="0" w:footer="0" w:header="0"/>
        </w:sectPr>
      </w:pPr>
    </w:p>
    <w:p>
      <w:pPr>
        <w:spacing w:after="0" w:line="28"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18"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(State or other jurisdiction of</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000-29961</w:t>
      </w:r>
    </w:p>
    <w:p>
      <w:pPr>
        <w:spacing w:after="0" w:line="18"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2"/>
          <w:szCs w:val="12"/>
          <w:color w:val="auto"/>
        </w:rPr>
        <w:t>(Commission File Number)</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13-4064930</w:t>
      </w:r>
    </w:p>
    <w:p>
      <w:pPr>
        <w:spacing w:after="0" w:line="18"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2"/>
          <w:szCs w:val="12"/>
          <w:color w:val="auto"/>
        </w:rPr>
        <w:t>(I.R.S. Employer Identification Number)</w:t>
      </w:r>
    </w:p>
    <w:p>
      <w:pPr>
        <w:spacing w:after="0" w:line="5" w:lineRule="exact"/>
        <w:rPr>
          <w:sz w:val="24"/>
          <w:szCs w:val="24"/>
          <w:color w:val="auto"/>
        </w:rPr>
      </w:pPr>
    </w:p>
    <w:p>
      <w:pPr>
        <w:sectPr>
          <w:pgSz w:w="11900" w:h="16838" w:orient="portrait"/>
          <w:cols w:equalWidth="0" w:num="3">
            <w:col w:w="4180" w:space="720"/>
            <w:col w:w="2680" w:space="720"/>
            <w:col w:w="2880"/>
          </w:cols>
          <w:pgMar w:left="300" w:top="1076" w:right="419" w:bottom="1440" w:gutter="0" w:footer="0" w:header="0"/>
          <w:type w:val="continuous"/>
        </w:sectPr>
      </w:pPr>
    </w:p>
    <w:p>
      <w:pPr>
        <w:ind w:left="1060"/>
        <w:spacing w:after="0"/>
        <w:rPr>
          <w:sz w:val="20"/>
          <w:szCs w:val="20"/>
          <w:color w:val="auto"/>
        </w:rPr>
      </w:pPr>
      <w:r>
        <w:rPr>
          <w:rFonts w:ascii="Times New Roman" w:cs="Times New Roman" w:eastAsia="Times New Roman" w:hAnsi="Times New Roman"/>
          <w:sz w:val="14"/>
          <w:szCs w:val="14"/>
          <w:color w:val="auto"/>
        </w:rPr>
        <w:t>incorporation or organization)</w:t>
      </w:r>
    </w:p>
    <w:p>
      <w:pPr>
        <w:spacing w:after="0" w:line="28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501 Commerce Street, Nashville, TN 37203</w:t>
      </w:r>
    </w:p>
    <w:p>
      <w:pPr>
        <w:spacing w:after="0" w:line="4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4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(Zip Code)</w:t>
      </w:r>
    </w:p>
    <w:p>
      <w:pPr>
        <w:spacing w:after="0" w:line="3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(615) 622-0000</w:t>
      </w:r>
    </w:p>
    <w:p>
      <w:pPr>
        <w:spacing w:after="0" w:line="4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p>
      <w:pPr>
        <w:sectPr>
          <w:pgSz w:w="11900" w:h="16838" w:orient="portrait"/>
          <w:cols w:equalWidth="0" w:num="1">
            <w:col w:w="11180"/>
          </w:cols>
          <w:pgMar w:left="300" w:top="1076" w:right="419" w:bottom="1440" w:gutter="0" w:footer="0" w:header="0"/>
          <w:type w:val="continuous"/>
        </w:sectPr>
      </w:pPr>
    </w:p>
    <w:p>
      <w:pPr>
        <w:spacing w:after="0" w:line="38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Check the appropriate box below if the Form 8-K filing is intended to simultaneously satisfy the filing obligations of the registrant under any of the following provisions:</w:t>
      </w:r>
    </w:p>
    <w:p>
      <w:pPr>
        <w:spacing w:after="0" w:line="188" w:lineRule="exact"/>
        <w:rPr>
          <w:sz w:val="24"/>
          <w:szCs w:val="24"/>
          <w:color w:val="auto"/>
        </w:rPr>
      </w:pPr>
    </w:p>
    <w:p>
      <w:pPr>
        <w:ind w:left="160" w:hanging="159"/>
        <w:spacing w:after="0"/>
        <w:tabs>
          <w:tab w:leader="none" w:pos="1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84" w:lineRule="exact"/>
        <w:rPr>
          <w:rFonts w:ascii="MS PGothic" w:cs="MS PGothic" w:eastAsia="MS PGothic" w:hAnsi="MS PGothic"/>
          <w:sz w:val="14"/>
          <w:szCs w:val="14"/>
          <w:color w:val="auto"/>
        </w:rPr>
      </w:pPr>
    </w:p>
    <w:p>
      <w:pPr>
        <w:ind w:left="160" w:hanging="159"/>
        <w:spacing w:after="0"/>
        <w:tabs>
          <w:tab w:leader="none" w:pos="1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84" w:lineRule="exact"/>
        <w:rPr>
          <w:rFonts w:ascii="MS PGothic" w:cs="MS PGothic" w:eastAsia="MS PGothic" w:hAnsi="MS PGothic"/>
          <w:sz w:val="14"/>
          <w:szCs w:val="14"/>
          <w:color w:val="auto"/>
        </w:rPr>
      </w:pPr>
    </w:p>
    <w:p>
      <w:pPr>
        <w:ind w:left="160" w:hanging="159"/>
        <w:spacing w:after="0"/>
        <w:tabs>
          <w:tab w:leader="none" w:pos="1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84" w:lineRule="exact"/>
        <w:rPr>
          <w:rFonts w:ascii="MS PGothic" w:cs="MS PGothic" w:eastAsia="MS PGothic" w:hAnsi="MS PGothic"/>
          <w:sz w:val="14"/>
          <w:szCs w:val="14"/>
          <w:color w:val="auto"/>
        </w:rPr>
      </w:pPr>
    </w:p>
    <w:p>
      <w:pPr>
        <w:ind w:left="160" w:hanging="159"/>
        <w:spacing w:after="0"/>
        <w:tabs>
          <w:tab w:leader="none" w:pos="1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367" w:lineRule="exact"/>
        <w:rPr>
          <w:sz w:val="24"/>
          <w:szCs w:val="24"/>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5" w:lineRule="exact"/>
        <w:rPr>
          <w:sz w:val="24"/>
          <w:szCs w:val="24"/>
          <w:color w:val="auto"/>
        </w:rPr>
      </w:pPr>
    </w:p>
    <w:p>
      <w:pPr>
        <w:spacing w:after="0" w:line="161" w:lineRule="exact"/>
        <w:tabs>
          <w:tab w:leader="none" w:pos="1600" w:val="left"/>
        </w:tabs>
        <w:rPr>
          <w:sz w:val="20"/>
          <w:szCs w:val="20"/>
          <w:color w:val="auto"/>
        </w:rPr>
      </w:pP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215" w:lineRule="exact"/>
        <w:rPr>
          <w:sz w:val="24"/>
          <w:szCs w:val="24"/>
          <w:color w:val="auto"/>
        </w:rPr>
      </w:pPr>
    </w:p>
    <w:p>
      <w:pPr>
        <w:ind w:right="100"/>
        <w:spacing w:after="0" w:line="18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728345</wp:posOffset>
            </wp:positionV>
            <wp:extent cx="7192010"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180"/>
          </w:cols>
          <w:pgMar w:left="300" w:top="1076" w:right="419" w:bottom="1440" w:gutter="0" w:footer="0" w:header="0"/>
          <w:type w:val="continuous"/>
        </w:sectPr>
      </w:pPr>
    </w:p>
    <w:bookmarkStart w:id="1" w:name="page2"/>
    <w:bookmarkEnd w:id="1"/>
    <w:p>
      <w:pPr>
        <w:ind w:left="320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Title of Each Class</w:t>
            </w:r>
          </w:p>
        </w:tc>
        <w:tc>
          <w:tcPr>
            <w:tcW w:w="1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4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6"/>
              </w:rPr>
              <w:t>Trading Symbol</w:t>
            </w:r>
          </w:p>
        </w:tc>
        <w:tc>
          <w:tcPr>
            <w:tcW w:w="3340" w:type="dxa"/>
            <w:vAlign w:val="bottom"/>
            <w:gridSpan w:val="2"/>
          </w:tcPr>
          <w:p>
            <w:pPr>
              <w:jc w:val="center"/>
              <w:ind w:left="632"/>
              <w:spacing w:after="0"/>
              <w:rPr>
                <w:sz w:val="20"/>
                <w:szCs w:val="20"/>
                <w:color w:val="auto"/>
              </w:rPr>
            </w:pPr>
            <w:r>
              <w:rPr>
                <w:rFonts w:ascii="Times New Roman" w:cs="Times New Roman" w:eastAsia="Times New Roman" w:hAnsi="Times New Roman"/>
                <w:sz w:val="14"/>
                <w:szCs w:val="14"/>
                <w:b w:val="1"/>
                <w:bCs w:val="1"/>
                <w:color w:val="auto"/>
                <w:w w:val="96"/>
              </w:rPr>
              <w:t>Name of Each Exchange on Which Registered</w:t>
            </w:r>
          </w:p>
        </w:tc>
      </w:tr>
      <w:tr>
        <w:trPr>
          <w:trHeight w:val="20"/>
        </w:trPr>
        <w:tc>
          <w:tcPr>
            <w:tcW w:w="11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r>
      <w:tr>
        <w:trPr>
          <w:trHeight w:val="182"/>
        </w:trPr>
        <w:tc>
          <w:tcPr>
            <w:tcW w:w="384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color w:val="auto"/>
                <w:w w:val="96"/>
              </w:rPr>
              <w:t>Units of limited partnership interest in AllianceBernstein L.P.</w:t>
            </w:r>
          </w:p>
        </w:tc>
        <w:tc>
          <w:tcPr>
            <w:tcW w:w="500" w:type="dxa"/>
            <w:vAlign w:val="bottom"/>
          </w:tcPr>
          <w:p>
            <w:pPr>
              <w:spacing w:after="0"/>
              <w:rPr>
                <w:sz w:val="15"/>
                <w:szCs w:val="15"/>
                <w:color w:val="auto"/>
              </w:rPr>
            </w:pPr>
          </w:p>
        </w:tc>
        <w:tc>
          <w:tcPr>
            <w:tcW w:w="164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8"/>
              </w:rPr>
              <w:t>None</w:t>
            </w:r>
          </w:p>
        </w:tc>
        <w:tc>
          <w:tcPr>
            <w:tcW w:w="700" w:type="dxa"/>
            <w:vAlign w:val="bottom"/>
          </w:tcPr>
          <w:p>
            <w:pPr>
              <w:spacing w:after="0"/>
              <w:rPr>
                <w:sz w:val="15"/>
                <w:szCs w:val="15"/>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2"/>
              </w:rPr>
              <w:t>None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5510530</wp:posOffset>
            </wp:positionV>
            <wp:extent cx="7192010"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9359"/>
          </w:cols>
          <w:pgMar w:left="1100" w:top="1046" w:right="1440" w:bottom="1440" w:gutter="0" w:footer="0" w:header="0"/>
        </w:sectPr>
      </w:pPr>
    </w:p>
    <w:bookmarkStart w:id="2" w:name="page3"/>
    <w:bookmarkEnd w:id="2"/>
    <w:p>
      <w:pPr>
        <w:spacing w:after="0"/>
        <w:tabs>
          <w:tab w:leader="none" w:pos="840" w:val="left"/>
        </w:tabs>
        <w:rPr>
          <w:sz w:val="20"/>
          <w:szCs w:val="20"/>
          <w:color w:val="auto"/>
        </w:rPr>
      </w:pPr>
      <w:r>
        <w:rPr>
          <w:rFonts w:ascii="Times New Roman" w:cs="Times New Roman" w:eastAsia="Times New Roman" w:hAnsi="Times New Roman"/>
          <w:sz w:val="16"/>
          <w:szCs w:val="16"/>
          <w:b w:val="1"/>
          <w:bCs w:val="1"/>
          <w:color w:val="auto"/>
        </w:rPr>
        <w:t>Item 7.01.</w:t>
      </w:r>
      <w:r>
        <w:rPr>
          <w:sz w:val="20"/>
          <w:szCs w:val="20"/>
          <w:color w:val="auto"/>
        </w:rPr>
        <w:tab/>
      </w:r>
      <w:r>
        <w:rPr>
          <w:rFonts w:ascii="Times New Roman" w:cs="Times New Roman" w:eastAsia="Times New Roman" w:hAnsi="Times New Roman"/>
          <w:sz w:val="16"/>
          <w:szCs w:val="16"/>
          <w:b w:val="1"/>
          <w:bCs w:val="1"/>
          <w:u w:val="single" w:color="auto"/>
          <w:color w:val="auto"/>
        </w:rPr>
        <w:t>Regulation FD Disclosure.</w:t>
      </w:r>
    </w:p>
    <w:p>
      <w:pPr>
        <w:spacing w:after="0" w:line="194" w:lineRule="exact"/>
        <w:rPr>
          <w:sz w:val="20"/>
          <w:szCs w:val="20"/>
          <w:color w:val="auto"/>
        </w:rPr>
      </w:pPr>
    </w:p>
    <w:p>
      <w:pPr>
        <w:ind w:left="980"/>
        <w:spacing w:after="0" w:line="286" w:lineRule="auto"/>
        <w:rPr>
          <w:sz w:val="20"/>
          <w:szCs w:val="20"/>
          <w:color w:val="auto"/>
        </w:rPr>
      </w:pPr>
      <w:r>
        <w:rPr>
          <w:rFonts w:ascii="Times New Roman" w:cs="Times New Roman" w:eastAsia="Times New Roman" w:hAnsi="Times New Roman"/>
          <w:sz w:val="16"/>
          <w:szCs w:val="16"/>
          <w:color w:val="auto"/>
        </w:rPr>
        <w:t>AllianceBernstein L.P. (“</w:t>
      </w:r>
      <w:r>
        <w:rPr>
          <w:rFonts w:ascii="Times New Roman" w:cs="Times New Roman" w:eastAsia="Times New Roman" w:hAnsi="Times New Roman"/>
          <w:sz w:val="16"/>
          <w:szCs w:val="16"/>
          <w:u w:val="single" w:color="auto"/>
          <w:color w:val="auto"/>
        </w:rPr>
        <w:t>AB</w:t>
      </w:r>
      <w:r>
        <w:rPr>
          <w:rFonts w:ascii="Times New Roman" w:cs="Times New Roman" w:eastAsia="Times New Roman" w:hAnsi="Times New Roman"/>
          <w:sz w:val="16"/>
          <w:szCs w:val="16"/>
          <w:color w:val="auto"/>
        </w:rPr>
        <w:t>”) and AllianceBernstein Holding L.P. are furnishing a news release (“</w:t>
      </w:r>
      <w:r>
        <w:rPr>
          <w:rFonts w:ascii="Times New Roman" w:cs="Times New Roman" w:eastAsia="Times New Roman" w:hAnsi="Times New Roman"/>
          <w:sz w:val="16"/>
          <w:szCs w:val="16"/>
          <w:u w:val="single" w:color="auto"/>
          <w:color w:val="auto"/>
        </w:rPr>
        <w:t>AUM Release</w:t>
      </w:r>
      <w:r>
        <w:rPr>
          <w:rFonts w:ascii="Times New Roman" w:cs="Times New Roman" w:eastAsia="Times New Roman" w:hAnsi="Times New Roman"/>
          <w:sz w:val="16"/>
          <w:szCs w:val="16"/>
          <w:color w:val="auto"/>
        </w:rPr>
        <w:t>”) issued on June 10, 2026 announcing AB’s preliminary assets under management as of May 31, 2026. The AUM Release is attached hereto as Exhibit 99.01.</w:t>
      </w:r>
    </w:p>
    <w:p>
      <w:pPr>
        <w:spacing w:after="0" w:line="3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6"/>
          <w:szCs w:val="16"/>
          <w:b w:val="1"/>
          <w:bCs w:val="1"/>
          <w:color w:val="auto"/>
        </w:rPr>
        <w:t>Item 9.01.</w:t>
      </w:r>
      <w:r>
        <w:rPr>
          <w:sz w:val="20"/>
          <w:szCs w:val="20"/>
          <w:color w:val="auto"/>
        </w:rPr>
        <w:tab/>
      </w:r>
      <w:r>
        <w:rPr>
          <w:rFonts w:ascii="Times New Roman" w:cs="Times New Roman" w:eastAsia="Times New Roman" w:hAnsi="Times New Roman"/>
          <w:sz w:val="16"/>
          <w:szCs w:val="16"/>
          <w:b w:val="1"/>
          <w:bCs w:val="1"/>
          <w:u w:val="single" w:color="auto"/>
          <w:color w:val="auto"/>
        </w:rPr>
        <w:t>Financial Statements and Exhibits.</w:t>
      </w:r>
    </w:p>
    <w:p>
      <w:pPr>
        <w:spacing w:after="0" w:line="194" w:lineRule="exact"/>
        <w:rPr>
          <w:sz w:val="20"/>
          <w:szCs w:val="20"/>
          <w:color w:val="auto"/>
        </w:rPr>
      </w:pPr>
    </w:p>
    <w:p>
      <w:pPr>
        <w:ind w:left="1320" w:hanging="345"/>
        <w:spacing w:after="0"/>
        <w:tabs>
          <w:tab w:leader="none" w:pos="13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Exhibits.</w:t>
      </w:r>
    </w:p>
    <w:p>
      <w:pPr>
        <w:spacing w:after="0" w:line="202" w:lineRule="exact"/>
        <w:rPr>
          <w:sz w:val="20"/>
          <w:szCs w:val="20"/>
          <w:color w:val="auto"/>
        </w:rPr>
      </w:pPr>
    </w:p>
    <w:p>
      <w:pPr>
        <w:ind w:left="1500"/>
        <w:spacing w:after="0"/>
        <w:tabs>
          <w:tab w:leader="none" w:pos="2000" w:val="left"/>
        </w:tabs>
        <w:rPr>
          <w:sz w:val="20"/>
          <w:szCs w:val="20"/>
          <w:color w:val="auto"/>
        </w:rPr>
      </w:pPr>
      <w:r>
        <w:rPr>
          <w:rFonts w:ascii="Times New Roman" w:cs="Times New Roman" w:eastAsia="Times New Roman" w:hAnsi="Times New Roman"/>
          <w:sz w:val="16"/>
          <w:szCs w:val="16"/>
          <w:color w:val="auto"/>
        </w:rPr>
        <w:t>99.01</w:t>
      </w:r>
      <w:r>
        <w:rPr>
          <w:sz w:val="20"/>
          <w:szCs w:val="20"/>
          <w:color w:val="auto"/>
        </w:rPr>
        <w:tab/>
      </w:r>
      <w:r>
        <w:rPr>
          <w:rFonts w:ascii="Times New Roman" w:cs="Times New Roman" w:eastAsia="Times New Roman" w:hAnsi="Times New Roman"/>
          <w:sz w:val="16"/>
          <w:szCs w:val="16"/>
          <w:u w:val="single" w:color="auto"/>
          <w:color w:val="0000FF"/>
        </w:rPr>
        <w:t>AUM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1423670</wp:posOffset>
            </wp:positionV>
            <wp:extent cx="7192010"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375"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19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9"/>
          <w:szCs w:val="19"/>
          <w:color w:val="auto"/>
        </w:rPr>
        <w:t>A</w:t>
      </w:r>
      <w:r>
        <w:rPr>
          <w:rFonts w:ascii="Times New Roman" w:cs="Times New Roman" w:eastAsia="Times New Roman" w:hAnsi="Times New Roman"/>
          <w:sz w:val="16"/>
          <w:szCs w:val="16"/>
          <w:color w:val="auto"/>
        </w:rPr>
        <w:t>LLIANCE</w:t>
      </w:r>
      <w:r>
        <w:rPr>
          <w:rFonts w:ascii="Times New Roman" w:cs="Times New Roman" w:eastAsia="Times New Roman" w:hAnsi="Times New Roman"/>
          <w:sz w:val="19"/>
          <w:szCs w:val="19"/>
          <w:color w:val="auto"/>
        </w:rPr>
        <w:t>B</w:t>
      </w:r>
      <w:r>
        <w:rPr>
          <w:rFonts w:ascii="Times New Roman" w:cs="Times New Roman" w:eastAsia="Times New Roman" w:hAnsi="Times New Roman"/>
          <w:sz w:val="16"/>
          <w:szCs w:val="16"/>
          <w:color w:val="auto"/>
        </w:rPr>
        <w:t>ERNSTEIN L.P.</w:t>
      </w:r>
    </w:p>
    <w:p>
      <w:pPr>
        <w:spacing w:after="0" w:line="345" w:lineRule="exact"/>
        <w:rPr>
          <w:sz w:val="20"/>
          <w:szCs w:val="20"/>
          <w:color w:val="auto"/>
        </w:rPr>
      </w:pPr>
    </w:p>
    <w:p>
      <w:pPr>
        <w:ind w:left="2940"/>
        <w:spacing w:after="0"/>
        <w:tabs>
          <w:tab w:leader="none" w:pos="9180" w:val="left"/>
          <w:tab w:leader="none" w:pos="9720" w:val="left"/>
        </w:tabs>
        <w:rPr>
          <w:sz w:val="20"/>
          <w:szCs w:val="20"/>
          <w:color w:val="auto"/>
        </w:rPr>
      </w:pPr>
      <w:r>
        <w:rPr>
          <w:rFonts w:ascii="Times New Roman" w:cs="Times New Roman" w:eastAsia="Times New Roman" w:hAnsi="Times New Roman"/>
          <w:sz w:val="16"/>
          <w:szCs w:val="16"/>
          <w:color w:val="auto"/>
        </w:rPr>
        <w:t>Dated: June 10, 2026</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Mark Manley</w:t>
      </w:r>
    </w:p>
    <w:p>
      <w:pPr>
        <w:spacing w:after="0" w:line="26" w:lineRule="exact"/>
        <w:rPr>
          <w:sz w:val="20"/>
          <w:szCs w:val="20"/>
          <w:color w:val="auto"/>
        </w:rPr>
      </w:pPr>
    </w:p>
    <w:p>
      <w:pPr>
        <w:ind w:left="9740"/>
        <w:spacing w:after="0"/>
        <w:rPr>
          <w:sz w:val="20"/>
          <w:szCs w:val="20"/>
          <w:color w:val="auto"/>
        </w:rPr>
      </w:pPr>
      <w:r>
        <w:rPr>
          <w:rFonts w:ascii="Times New Roman" w:cs="Times New Roman" w:eastAsia="Times New Roman" w:hAnsi="Times New Roman"/>
          <w:sz w:val="16"/>
          <w:szCs w:val="16"/>
          <w:color w:val="auto"/>
        </w:rPr>
        <w:t>Mark Manley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6181090</wp:posOffset>
            </wp:positionH>
            <wp:positionV relativeFrom="paragraph">
              <wp:posOffset>-113665</wp:posOffset>
            </wp:positionV>
            <wp:extent cx="103251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2510" cy="6350"/>
                    </a:xfrm>
                    <a:prstGeom prst="rect">
                      <a:avLst/>
                    </a:prstGeom>
                    <a:noFill/>
                  </pic:spPr>
                </pic:pic>
              </a:graphicData>
            </a:graphic>
          </wp:anchor>
        </w:drawing>
      </w:r>
    </w:p>
    <w:p>
      <w:pPr>
        <w:ind w:left="9740"/>
        <w:spacing w:after="0"/>
        <w:rPr>
          <w:sz w:val="20"/>
          <w:szCs w:val="20"/>
          <w:color w:val="auto"/>
        </w:rPr>
      </w:pPr>
      <w:r>
        <w:rPr>
          <w:rFonts w:ascii="Times New Roman" w:cs="Times New Roman" w:eastAsia="Times New Roman" w:hAnsi="Times New Roman"/>
          <w:sz w:val="16"/>
          <w:szCs w:val="16"/>
          <w:color w:val="auto"/>
        </w:rPr>
        <w:t>Corporate Secretary</w:t>
      </w:r>
    </w:p>
    <w:p>
      <w:pPr>
        <w:sectPr>
          <w:pgSz w:w="11900" w:h="16838" w:orient="portrait"/>
          <w:cols w:equalWidth="0" w:num="1">
            <w:col w:w="11280"/>
          </w:cols>
          <w:pgMar w:left="300" w:top="1010" w:right="319" w:bottom="1440" w:gutter="0" w:footer="0" w:header="0"/>
        </w:sectPr>
      </w:pPr>
    </w:p>
    <w:bookmarkStart w:id="4" w:name="page5"/>
    <w:bookmarkEnd w:id="4"/>
    <w:p>
      <w:pPr>
        <w:ind w:left="376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197485</wp:posOffset>
            </wp:positionH>
            <wp:positionV relativeFrom="page">
              <wp:posOffset>101600</wp:posOffset>
            </wp:positionV>
            <wp:extent cx="425450" cy="425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425450" cy="425450"/>
                    </a:xfrm>
                    <a:prstGeom prst="rect">
                      <a:avLst/>
                    </a:prstGeom>
                    <a:noFill/>
                  </pic:spPr>
                </pic:pic>
              </a:graphicData>
            </a:graphic>
          </wp:anchor>
        </w:drawing>
        <w:t>Ioanis Jorgali, Investors</w:t>
      </w:r>
    </w:p>
    <w:p>
      <w:pPr>
        <w:spacing w:after="0" w:line="20" w:lineRule="exact"/>
        <w:rPr>
          <w:sz w:val="20"/>
          <w:szCs w:val="20"/>
          <w:color w:val="auto"/>
        </w:rPr>
      </w:pPr>
      <w:r>
        <w:rPr>
          <w:sz w:val="20"/>
          <w:szCs w:val="20"/>
          <w:color w:val="auto"/>
        </w:rPr>
        <w:br w:type="column"/>
      </w:r>
    </w:p>
    <w:p>
      <w:pPr>
        <w:jc w:val="center"/>
        <w:ind w:right="2360"/>
        <w:spacing w:after="0"/>
        <w:rPr>
          <w:sz w:val="20"/>
          <w:szCs w:val="20"/>
          <w:color w:val="auto"/>
        </w:rPr>
      </w:pPr>
      <w:r>
        <w:rPr>
          <w:rFonts w:ascii="Arial" w:cs="Arial" w:eastAsia="Arial" w:hAnsi="Arial"/>
          <w:sz w:val="12"/>
          <w:szCs w:val="12"/>
          <w:b w:val="1"/>
          <w:bCs w:val="1"/>
          <w:color w:val="auto"/>
        </w:rPr>
        <w:t>Carly Symington, Media</w:t>
      </w:r>
    </w:p>
    <w:p>
      <w:pPr>
        <w:spacing w:after="0" w:line="55" w:lineRule="exact"/>
        <w:rPr>
          <w:sz w:val="20"/>
          <w:szCs w:val="20"/>
          <w:color w:val="auto"/>
        </w:rPr>
      </w:pPr>
    </w:p>
    <w:p>
      <w:pPr>
        <w:sectPr>
          <w:pgSz w:w="11900" w:h="16838" w:orient="portrait"/>
          <w:cols w:equalWidth="0" w:num="2">
            <w:col w:w="6820" w:space="720"/>
            <w:col w:w="3740"/>
          </w:cols>
          <w:pgMar w:left="300" w:top="332" w:right="319" w:bottom="1440" w:gutter="0" w:footer="0" w:header="0"/>
        </w:sectPr>
      </w:pPr>
    </w:p>
    <w:p>
      <w:pPr>
        <w:jc w:val="center"/>
        <w:ind w:left="1460"/>
        <w:spacing w:after="0"/>
        <w:rPr>
          <w:sz w:val="20"/>
          <w:szCs w:val="20"/>
          <w:color w:val="auto"/>
        </w:rPr>
      </w:pPr>
      <w:r>
        <w:rPr>
          <w:rFonts w:ascii="Arial" w:cs="Arial" w:eastAsia="Arial" w:hAnsi="Arial"/>
          <w:sz w:val="12"/>
          <w:szCs w:val="12"/>
          <w:color w:val="auto"/>
        </w:rPr>
        <w:t>629.213.6139</w:t>
      </w:r>
    </w:p>
    <w:p>
      <w:pPr>
        <w:spacing w:after="0" w:line="20" w:lineRule="exact"/>
        <w:rPr>
          <w:sz w:val="20"/>
          <w:szCs w:val="20"/>
          <w:color w:val="auto"/>
        </w:rPr>
      </w:pPr>
      <w:r>
        <w:rPr>
          <w:sz w:val="20"/>
          <w:szCs w:val="20"/>
          <w:color w:val="auto"/>
        </w:rPr>
        <w:br w:type="column"/>
      </w:r>
    </w:p>
    <w:p>
      <w:pPr>
        <w:jc w:val="center"/>
        <w:ind w:right="3000"/>
        <w:spacing w:after="0"/>
        <w:rPr>
          <w:sz w:val="20"/>
          <w:szCs w:val="20"/>
          <w:color w:val="auto"/>
        </w:rPr>
      </w:pPr>
      <w:r>
        <w:rPr>
          <w:rFonts w:ascii="Arial" w:cs="Arial" w:eastAsia="Arial" w:hAnsi="Arial"/>
          <w:sz w:val="12"/>
          <w:szCs w:val="12"/>
          <w:color w:val="auto"/>
        </w:rPr>
        <w:t>629.213.5568</w:t>
      </w:r>
    </w:p>
    <w:p>
      <w:pPr>
        <w:spacing w:after="0" w:line="65" w:lineRule="exact"/>
        <w:rPr>
          <w:sz w:val="20"/>
          <w:szCs w:val="20"/>
          <w:color w:val="auto"/>
        </w:rPr>
      </w:pPr>
    </w:p>
    <w:p>
      <w:pPr>
        <w:sectPr>
          <w:pgSz w:w="11900" w:h="16838" w:orient="portrait"/>
          <w:cols w:equalWidth="0" w:num="2">
            <w:col w:w="6820" w:space="720"/>
            <w:col w:w="3740"/>
          </w:cols>
          <w:pgMar w:left="300" w:top="332" w:right="319" w:bottom="1440" w:gutter="0" w:footer="0" w:header="0"/>
          <w:type w:val="continuous"/>
        </w:sectPr>
      </w:pPr>
    </w:p>
    <w:p>
      <w:pPr>
        <w:ind w:left="3760"/>
        <w:spacing w:after="0"/>
        <w:rPr>
          <w:sz w:val="20"/>
          <w:szCs w:val="20"/>
          <w:color w:val="auto"/>
        </w:rPr>
      </w:pPr>
      <w:r>
        <w:rPr>
          <w:rFonts w:ascii="Arial" w:cs="Arial" w:eastAsia="Arial" w:hAnsi="Arial"/>
          <w:sz w:val="12"/>
          <w:szCs w:val="12"/>
          <w:color w:val="auto"/>
        </w:rPr>
        <w:t>ioanis.jorgali@alliancebernstein.com</w:t>
      </w:r>
    </w:p>
    <w:p>
      <w:pPr>
        <w:spacing w:after="0" w:line="20" w:lineRule="exact"/>
        <w:rPr>
          <w:sz w:val="20"/>
          <w:szCs w:val="20"/>
          <w:color w:val="auto"/>
        </w:rPr>
      </w:pPr>
      <w:r>
        <w:rPr>
          <w:sz w:val="20"/>
          <w:szCs w:val="20"/>
          <w:color w:val="auto"/>
        </w:rPr>
        <w:br w:type="column"/>
      </w:r>
    </w:p>
    <w:p>
      <w:pPr>
        <w:jc w:val="center"/>
        <w:ind w:right="1600"/>
        <w:spacing w:after="0"/>
        <w:rPr>
          <w:sz w:val="20"/>
          <w:szCs w:val="20"/>
          <w:color w:val="auto"/>
        </w:rPr>
      </w:pPr>
      <w:r>
        <w:rPr>
          <w:rFonts w:ascii="Arial" w:cs="Arial" w:eastAsia="Arial" w:hAnsi="Arial"/>
          <w:sz w:val="12"/>
          <w:szCs w:val="12"/>
          <w:color w:val="auto"/>
        </w:rPr>
        <w:t>carly.symington@alliancebernstein.com</w:t>
      </w:r>
    </w:p>
    <w:p>
      <w:pPr>
        <w:spacing w:after="0" w:line="200" w:lineRule="exact"/>
        <w:rPr>
          <w:sz w:val="20"/>
          <w:szCs w:val="20"/>
          <w:color w:val="auto"/>
        </w:rPr>
      </w:pPr>
    </w:p>
    <w:p>
      <w:pPr>
        <w:sectPr>
          <w:pgSz w:w="11900" w:h="16838" w:orient="portrait"/>
          <w:cols w:equalWidth="0" w:num="2">
            <w:col w:w="6820" w:space="720"/>
            <w:col w:w="3740"/>
          </w:cols>
          <w:pgMar w:left="300" w:top="332"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 Announces May 31, 2026 Assets Under Management</w:t>
      </w:r>
    </w:p>
    <w:p>
      <w:pPr>
        <w:spacing w:after="0" w:line="100"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Nashville, TN, June 10, 2026 - AllianceBernstein L.P. (“AB”) and AllianceBernstein Holding L.P. (“AB Holding”) (NYSE: AB) today announced that preliminary assets under management increased to $ 899 billion in May 2026, up from $882 billion at the end of April. The 2% increase in month -end AUM was driven by market appreciation, partially offset by net outflows. May outflows were concentrated in Retail, while Institutions saw modest inflows and Private Wealth flows were roughly flat.</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AllianceBernstein L.P. (The Operating Partnership)</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Assets Under Management ($ in Billions)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At May 31, 2026</w:t>
            </w:r>
          </w:p>
        </w:tc>
        <w:tc>
          <w:tcPr>
            <w:tcW w:w="10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Apr 30,</w:t>
            </w:r>
          </w:p>
        </w:tc>
        <w:tc>
          <w:tcPr>
            <w:tcW w:w="0" w:type="dxa"/>
            <w:vAlign w:val="bottom"/>
          </w:tcPr>
          <w:p>
            <w:pPr>
              <w:spacing w:after="0"/>
              <w:rPr>
                <w:sz w:val="1"/>
                <w:szCs w:val="1"/>
                <w:color w:val="auto"/>
              </w:rPr>
            </w:pPr>
          </w:p>
        </w:tc>
      </w:tr>
      <w:tr>
        <w:trPr>
          <w:trHeight w:val="189"/>
        </w:trPr>
        <w:tc>
          <w:tcPr>
            <w:tcW w:w="31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2026</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Private</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Institutions</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Retail</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Wealth</w:t>
            </w:r>
          </w:p>
        </w:tc>
        <w:tc>
          <w:tcPr>
            <w:tcW w:w="340" w:type="dxa"/>
            <w:vAlign w:val="bottom"/>
          </w:tcPr>
          <w:p>
            <w:pPr>
              <w:spacing w:after="0"/>
              <w:rPr>
                <w:sz w:val="17"/>
                <w:szCs w:val="17"/>
                <w:color w:val="auto"/>
              </w:rPr>
            </w:pPr>
          </w:p>
        </w:tc>
        <w:tc>
          <w:tcPr>
            <w:tcW w:w="1160" w:type="dxa"/>
            <w:vAlign w:val="bottom"/>
          </w:tcPr>
          <w:p>
            <w:pPr>
              <w:jc w:val="right"/>
              <w:ind w:right="532"/>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
        </w:trPr>
        <w:tc>
          <w:tcPr>
            <w:tcW w:w="3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Equity</w:t>
            </w: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4"/>
        </w:trPr>
        <w:tc>
          <w:tcPr>
            <w:tcW w:w="312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120" w:type="dxa"/>
            <w:vAlign w:val="bottom"/>
          </w:tcPr>
          <w:p>
            <w:pPr>
              <w:ind w:left="40"/>
              <w:spacing w:after="0"/>
              <w:rPr>
                <w:sz w:val="20"/>
                <w:szCs w:val="20"/>
                <w:color w:val="auto"/>
              </w:rPr>
            </w:pPr>
            <w:r>
              <w:rPr>
                <w:rFonts w:ascii="Arial" w:cs="Arial" w:eastAsia="Arial" w:hAnsi="Arial"/>
                <w:sz w:val="14"/>
                <w:szCs w:val="14"/>
                <w:color w:val="auto"/>
              </w:rPr>
              <w:t>Actively Managed</w:t>
            </w:r>
          </w:p>
        </w:tc>
        <w:tc>
          <w:tcPr>
            <w:tcW w:w="1160" w:type="dxa"/>
            <w:vAlign w:val="bottom"/>
          </w:tcPr>
          <w:p>
            <w:pPr>
              <w:jc w:val="right"/>
              <w:ind w:right="992"/>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ind w:right="32"/>
              <w:spacing w:after="0"/>
              <w:rPr>
                <w:sz w:val="20"/>
                <w:szCs w:val="20"/>
                <w:color w:val="auto"/>
              </w:rPr>
            </w:pPr>
            <w:r>
              <w:rPr>
                <w:rFonts w:ascii="Arial" w:cs="Arial" w:eastAsia="Arial" w:hAnsi="Arial"/>
                <w:sz w:val="14"/>
                <w:szCs w:val="14"/>
                <w:b w:val="1"/>
                <w:bCs w:val="1"/>
                <w:color w:val="auto"/>
              </w:rPr>
              <w:t>51</w:t>
            </w:r>
          </w:p>
        </w:tc>
        <w:tc>
          <w:tcPr>
            <w:tcW w:w="160" w:type="dxa"/>
            <w:vAlign w:val="bottom"/>
          </w:tcPr>
          <w:p>
            <w:pPr>
              <w:spacing w:after="0"/>
              <w:rPr>
                <w:sz w:val="19"/>
                <w:szCs w:val="19"/>
                <w:color w:val="auto"/>
              </w:rPr>
            </w:pPr>
          </w:p>
        </w:tc>
        <w:tc>
          <w:tcPr>
            <w:tcW w:w="1000" w:type="dxa"/>
            <w:vAlign w:val="bottom"/>
          </w:tcPr>
          <w:p>
            <w:pPr>
              <w:jc w:val="right"/>
              <w:ind w:right="832"/>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ind w:right="52"/>
              <w:spacing w:after="0"/>
              <w:rPr>
                <w:sz w:val="20"/>
                <w:szCs w:val="20"/>
                <w:color w:val="auto"/>
              </w:rPr>
            </w:pPr>
            <w:r>
              <w:rPr>
                <w:rFonts w:ascii="Arial" w:cs="Arial" w:eastAsia="Arial" w:hAnsi="Arial"/>
                <w:sz w:val="14"/>
                <w:szCs w:val="14"/>
                <w:b w:val="1"/>
                <w:bCs w:val="1"/>
                <w:color w:val="auto"/>
              </w:rPr>
              <w:t>169</w:t>
            </w:r>
          </w:p>
        </w:tc>
        <w:tc>
          <w:tcPr>
            <w:tcW w:w="140" w:type="dxa"/>
            <w:vAlign w:val="bottom"/>
          </w:tcPr>
          <w:p>
            <w:pPr>
              <w:spacing w:after="0"/>
              <w:rPr>
                <w:sz w:val="19"/>
                <w:szCs w:val="19"/>
                <w:color w:val="auto"/>
              </w:rPr>
            </w:pPr>
          </w:p>
        </w:tc>
        <w:tc>
          <w:tcPr>
            <w:tcW w:w="500" w:type="dxa"/>
            <w:vAlign w:val="bottom"/>
          </w:tcPr>
          <w:p>
            <w:pPr>
              <w:jc w:val="right"/>
              <w:ind w:right="332"/>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32"/>
              <w:spacing w:after="0"/>
              <w:rPr>
                <w:sz w:val="20"/>
                <w:szCs w:val="20"/>
                <w:color w:val="auto"/>
              </w:rPr>
            </w:pPr>
            <w:r>
              <w:rPr>
                <w:rFonts w:ascii="Arial" w:cs="Arial" w:eastAsia="Arial" w:hAnsi="Arial"/>
                <w:sz w:val="14"/>
                <w:szCs w:val="14"/>
                <w:b w:val="1"/>
                <w:bCs w:val="1"/>
                <w:color w:val="auto"/>
              </w:rPr>
              <w:t>64</w:t>
            </w:r>
          </w:p>
        </w:tc>
        <w:tc>
          <w:tcPr>
            <w:tcW w:w="160" w:type="dxa"/>
            <w:vAlign w:val="bottom"/>
          </w:tcPr>
          <w:p>
            <w:pPr>
              <w:spacing w:after="0"/>
              <w:rPr>
                <w:sz w:val="19"/>
                <w:szCs w:val="19"/>
                <w:color w:val="auto"/>
              </w:rPr>
            </w:pPr>
          </w:p>
        </w:tc>
        <w:tc>
          <w:tcPr>
            <w:tcW w:w="340" w:type="dxa"/>
            <w:vAlign w:val="bottom"/>
          </w:tcPr>
          <w:p>
            <w:pPr>
              <w:jc w:val="right"/>
              <w:ind w:right="192"/>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Pr>
          <w:p>
            <w:pPr>
              <w:jc w:val="right"/>
              <w:ind w:right="52"/>
              <w:spacing w:after="0"/>
              <w:rPr>
                <w:sz w:val="20"/>
                <w:szCs w:val="20"/>
                <w:color w:val="auto"/>
              </w:rPr>
            </w:pPr>
            <w:r>
              <w:rPr>
                <w:rFonts w:ascii="Arial" w:cs="Arial" w:eastAsia="Arial" w:hAnsi="Arial"/>
                <w:sz w:val="14"/>
                <w:szCs w:val="14"/>
                <w:b w:val="1"/>
                <w:bCs w:val="1"/>
                <w:color w:val="auto"/>
              </w:rPr>
              <w:t>284</w:t>
            </w:r>
          </w:p>
        </w:tc>
        <w:tc>
          <w:tcPr>
            <w:tcW w:w="5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272"/>
              <w:spacing w:after="0"/>
              <w:rPr>
                <w:sz w:val="20"/>
                <w:szCs w:val="20"/>
                <w:color w:val="auto"/>
              </w:rPr>
            </w:pPr>
            <w:r>
              <w:rPr>
                <w:rFonts w:ascii="Arial" w:cs="Arial" w:eastAsia="Arial" w:hAnsi="Arial"/>
                <w:sz w:val="14"/>
                <w:szCs w:val="14"/>
                <w:b w:val="1"/>
                <w:bCs w:val="1"/>
                <w:color w:val="auto"/>
              </w:rPr>
              <w:t>278</w:t>
            </w:r>
          </w:p>
        </w:tc>
        <w:tc>
          <w:tcPr>
            <w:tcW w:w="0" w:type="dxa"/>
            <w:vAlign w:val="bottom"/>
          </w:tcPr>
          <w:p>
            <w:pPr>
              <w:spacing w:after="0"/>
              <w:rPr>
                <w:sz w:val="1"/>
                <w:szCs w:val="1"/>
                <w:color w:val="auto"/>
              </w:rPr>
            </w:pPr>
          </w:p>
        </w:tc>
      </w:tr>
      <w:tr>
        <w:trPr>
          <w:trHeight w:val="205"/>
        </w:trPr>
        <w:tc>
          <w:tcPr>
            <w:tcW w:w="3120" w:type="dxa"/>
            <w:vAlign w:val="bottom"/>
          </w:tcPr>
          <w:p>
            <w:pPr>
              <w:ind w:left="40"/>
              <w:spacing w:after="0"/>
              <w:rPr>
                <w:sz w:val="20"/>
                <w:szCs w:val="20"/>
                <w:color w:val="auto"/>
              </w:rPr>
            </w:pPr>
            <w:r>
              <w:rPr>
                <w:rFonts w:ascii="Arial" w:cs="Arial" w:eastAsia="Arial" w:hAnsi="Arial"/>
                <w:sz w:val="14"/>
                <w:szCs w:val="14"/>
                <w:color w:val="auto"/>
              </w:rPr>
              <w:t>Passive</w:t>
            </w:r>
          </w:p>
        </w:tc>
        <w:tc>
          <w:tcPr>
            <w:tcW w:w="11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31</w:t>
            </w:r>
          </w:p>
        </w:tc>
        <w:tc>
          <w:tcPr>
            <w:tcW w:w="16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44</w:t>
            </w:r>
          </w:p>
        </w:tc>
        <w:tc>
          <w:tcPr>
            <w:tcW w:w="14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11</w:t>
            </w: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86</w:t>
            </w:r>
          </w:p>
        </w:tc>
        <w:tc>
          <w:tcPr>
            <w:tcW w:w="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82</w:t>
            </w:r>
          </w:p>
        </w:tc>
        <w:tc>
          <w:tcPr>
            <w:tcW w:w="0" w:type="dxa"/>
            <w:vAlign w:val="bottom"/>
          </w:tcPr>
          <w:p>
            <w:pPr>
              <w:spacing w:after="0"/>
              <w:rPr>
                <w:sz w:val="1"/>
                <w:szCs w:val="1"/>
                <w:color w:val="auto"/>
              </w:rPr>
            </w:pPr>
          </w:p>
        </w:tc>
      </w:tr>
      <w:tr>
        <w:trPr>
          <w:trHeight w:val="183"/>
        </w:trPr>
        <w:tc>
          <w:tcPr>
            <w:tcW w:w="3120" w:type="dxa"/>
            <w:vAlign w:val="bottom"/>
          </w:tcPr>
          <w:p>
            <w:pPr>
              <w:ind w:left="40"/>
              <w:spacing w:after="0"/>
              <w:rPr>
                <w:sz w:val="20"/>
                <w:szCs w:val="20"/>
                <w:color w:val="auto"/>
              </w:rPr>
            </w:pPr>
            <w:r>
              <w:rPr>
                <w:rFonts w:ascii="Arial" w:cs="Arial" w:eastAsia="Arial" w:hAnsi="Arial"/>
                <w:sz w:val="14"/>
                <w:szCs w:val="14"/>
                <w:b w:val="1"/>
                <w:bCs w:val="1"/>
                <w:color w:val="auto"/>
              </w:rPr>
              <w:t>Total Equity</w:t>
            </w:r>
          </w:p>
        </w:tc>
        <w:tc>
          <w:tcPr>
            <w:tcW w:w="11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82</w:t>
            </w:r>
          </w:p>
        </w:tc>
        <w:tc>
          <w:tcPr>
            <w:tcW w:w="16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213</w:t>
            </w:r>
          </w:p>
        </w:tc>
        <w:tc>
          <w:tcPr>
            <w:tcW w:w="14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75</w:t>
            </w:r>
          </w:p>
        </w:tc>
        <w:tc>
          <w:tcPr>
            <w:tcW w:w="1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370</w:t>
            </w:r>
          </w:p>
        </w:tc>
        <w:tc>
          <w:tcPr>
            <w:tcW w:w="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360</w:t>
            </w:r>
          </w:p>
        </w:tc>
        <w:tc>
          <w:tcPr>
            <w:tcW w:w="0" w:type="dxa"/>
            <w:vAlign w:val="bottom"/>
          </w:tcPr>
          <w:p>
            <w:pPr>
              <w:spacing w:after="0"/>
              <w:rPr>
                <w:sz w:val="1"/>
                <w:szCs w:val="1"/>
                <w:color w:val="auto"/>
              </w:rPr>
            </w:pPr>
          </w:p>
        </w:tc>
      </w:tr>
      <w:tr>
        <w:trPr>
          <w:trHeight w:val="324"/>
        </w:trPr>
        <w:tc>
          <w:tcPr>
            <w:tcW w:w="3120" w:type="dxa"/>
            <w:vAlign w:val="bottom"/>
          </w:tcPr>
          <w:p>
            <w:pPr>
              <w:ind w:left="40"/>
              <w:spacing w:after="0"/>
              <w:rPr>
                <w:sz w:val="20"/>
                <w:szCs w:val="20"/>
                <w:color w:val="auto"/>
              </w:rPr>
            </w:pPr>
            <w:r>
              <w:rPr>
                <w:rFonts w:ascii="Arial" w:cs="Arial" w:eastAsia="Arial" w:hAnsi="Arial"/>
                <w:sz w:val="14"/>
                <w:szCs w:val="14"/>
                <w:b w:val="1"/>
                <w:bCs w:val="1"/>
                <w:color w:val="auto"/>
              </w:rPr>
              <w:t>Fixed Income</w:t>
            </w: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120" w:type="dxa"/>
            <w:vAlign w:val="bottom"/>
          </w:tcPr>
          <w:p>
            <w:pPr>
              <w:ind w:left="40"/>
              <w:spacing w:after="0"/>
              <w:rPr>
                <w:sz w:val="20"/>
                <w:szCs w:val="20"/>
                <w:color w:val="auto"/>
              </w:rPr>
            </w:pPr>
            <w:r>
              <w:rPr>
                <w:rFonts w:ascii="Arial" w:cs="Arial" w:eastAsia="Arial" w:hAnsi="Arial"/>
                <w:sz w:val="14"/>
                <w:szCs w:val="14"/>
                <w:color w:val="auto"/>
              </w:rPr>
              <w:t>Taxable</w:t>
            </w:r>
          </w:p>
        </w:tc>
        <w:tc>
          <w:tcPr>
            <w:tcW w:w="1160" w:type="dxa"/>
            <w:vAlign w:val="bottom"/>
          </w:tcPr>
          <w:p>
            <w:pPr>
              <w:spacing w:after="0"/>
              <w:rPr>
                <w:sz w:val="19"/>
                <w:szCs w:val="19"/>
                <w:color w:val="auto"/>
              </w:rPr>
            </w:pPr>
          </w:p>
        </w:tc>
        <w:tc>
          <w:tcPr>
            <w:tcW w:w="360" w:type="dxa"/>
            <w:vAlign w:val="bottom"/>
          </w:tcPr>
          <w:p>
            <w:pPr>
              <w:jc w:val="right"/>
              <w:ind w:right="32"/>
              <w:spacing w:after="0"/>
              <w:rPr>
                <w:sz w:val="20"/>
                <w:szCs w:val="20"/>
                <w:color w:val="auto"/>
              </w:rPr>
            </w:pPr>
            <w:r>
              <w:rPr>
                <w:rFonts w:ascii="Arial" w:cs="Arial" w:eastAsia="Arial" w:hAnsi="Arial"/>
                <w:sz w:val="14"/>
                <w:szCs w:val="14"/>
                <w:b w:val="1"/>
                <w:bCs w:val="1"/>
                <w:color w:val="auto"/>
              </w:rPr>
              <w:t>120</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jc w:val="right"/>
              <w:ind w:right="52"/>
              <w:spacing w:after="0"/>
              <w:rPr>
                <w:sz w:val="20"/>
                <w:szCs w:val="20"/>
                <w:color w:val="auto"/>
              </w:rPr>
            </w:pPr>
            <w:r>
              <w:rPr>
                <w:rFonts w:ascii="Arial" w:cs="Arial" w:eastAsia="Arial" w:hAnsi="Arial"/>
                <w:sz w:val="14"/>
                <w:szCs w:val="14"/>
                <w:b w:val="1"/>
                <w:bCs w:val="1"/>
                <w:color w:val="auto"/>
              </w:rPr>
              <w:t>67</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4"/>
                <w:szCs w:val="14"/>
                <w:b w:val="1"/>
                <w:bCs w:val="1"/>
                <w:color w:val="auto"/>
              </w:rPr>
              <w:t>22</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52"/>
              <w:spacing w:after="0"/>
              <w:rPr>
                <w:sz w:val="20"/>
                <w:szCs w:val="20"/>
                <w:color w:val="auto"/>
              </w:rPr>
            </w:pPr>
            <w:r>
              <w:rPr>
                <w:rFonts w:ascii="Arial" w:cs="Arial" w:eastAsia="Arial" w:hAnsi="Arial"/>
                <w:sz w:val="14"/>
                <w:szCs w:val="14"/>
                <w:b w:val="1"/>
                <w:bCs w:val="1"/>
                <w:color w:val="auto"/>
              </w:rPr>
              <w:t>209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272"/>
              <w:spacing w:after="0"/>
              <w:rPr>
                <w:sz w:val="20"/>
                <w:szCs w:val="20"/>
                <w:color w:val="auto"/>
              </w:rPr>
            </w:pPr>
            <w:r>
              <w:rPr>
                <w:rFonts w:ascii="Arial" w:cs="Arial" w:eastAsia="Arial" w:hAnsi="Arial"/>
                <w:sz w:val="14"/>
                <w:szCs w:val="14"/>
                <w:b w:val="1"/>
                <w:bCs w:val="1"/>
                <w:color w:val="auto"/>
              </w:rPr>
              <w:t>209</w:t>
            </w:r>
          </w:p>
        </w:tc>
        <w:tc>
          <w:tcPr>
            <w:tcW w:w="0" w:type="dxa"/>
            <w:vAlign w:val="bottom"/>
          </w:tcPr>
          <w:p>
            <w:pPr>
              <w:spacing w:after="0"/>
              <w:rPr>
                <w:sz w:val="1"/>
                <w:szCs w:val="1"/>
                <w:color w:val="auto"/>
              </w:rPr>
            </w:pPr>
          </w:p>
        </w:tc>
      </w:tr>
      <w:tr>
        <w:trPr>
          <w:trHeight w:val="203"/>
        </w:trPr>
        <w:tc>
          <w:tcPr>
            <w:tcW w:w="3120" w:type="dxa"/>
            <w:vAlign w:val="bottom"/>
          </w:tcPr>
          <w:p>
            <w:pPr>
              <w:ind w:left="40"/>
              <w:spacing w:after="0"/>
              <w:rPr>
                <w:sz w:val="20"/>
                <w:szCs w:val="20"/>
                <w:color w:val="auto"/>
              </w:rPr>
            </w:pPr>
            <w:r>
              <w:rPr>
                <w:rFonts w:ascii="Arial" w:cs="Arial" w:eastAsia="Arial" w:hAnsi="Arial"/>
                <w:sz w:val="14"/>
                <w:szCs w:val="14"/>
                <w:color w:val="auto"/>
              </w:rPr>
              <w:t>Tax-Exempt</w:t>
            </w:r>
          </w:p>
        </w:tc>
        <w:tc>
          <w:tcPr>
            <w:tcW w:w="1160" w:type="dxa"/>
            <w:vAlign w:val="bottom"/>
          </w:tcPr>
          <w:p>
            <w:pPr>
              <w:spacing w:after="0"/>
              <w:rPr>
                <w:sz w:val="17"/>
                <w:szCs w:val="17"/>
                <w:color w:val="auto"/>
              </w:rPr>
            </w:pPr>
          </w:p>
        </w:tc>
        <w:tc>
          <w:tcPr>
            <w:tcW w:w="360" w:type="dxa"/>
            <w:vAlign w:val="bottom"/>
          </w:tcPr>
          <w:p>
            <w:pPr>
              <w:jc w:val="right"/>
              <w:ind w:right="32"/>
              <w:spacing w:after="0"/>
              <w:rPr>
                <w:sz w:val="20"/>
                <w:szCs w:val="20"/>
                <w:color w:val="auto"/>
              </w:rPr>
            </w:pPr>
            <w:r>
              <w:rPr>
                <w:rFonts w:ascii="Arial" w:cs="Arial" w:eastAsia="Arial" w:hAnsi="Arial"/>
                <w:sz w:val="14"/>
                <w:szCs w:val="14"/>
                <w:b w:val="1"/>
                <w:bCs w:val="1"/>
                <w:color w:val="auto"/>
              </w:rPr>
              <w:t>1</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jc w:val="right"/>
              <w:ind w:right="52"/>
              <w:spacing w:after="0"/>
              <w:rPr>
                <w:sz w:val="20"/>
                <w:szCs w:val="20"/>
                <w:color w:val="auto"/>
              </w:rPr>
            </w:pPr>
            <w:r>
              <w:rPr>
                <w:rFonts w:ascii="Arial" w:cs="Arial" w:eastAsia="Arial" w:hAnsi="Arial"/>
                <w:sz w:val="14"/>
                <w:szCs w:val="14"/>
                <w:b w:val="1"/>
                <w:bCs w:val="1"/>
                <w:color w:val="auto"/>
              </w:rPr>
              <w:t>63</w:t>
            </w: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jc w:val="right"/>
              <w:ind w:right="32"/>
              <w:spacing w:after="0"/>
              <w:rPr>
                <w:sz w:val="20"/>
                <w:szCs w:val="20"/>
                <w:color w:val="auto"/>
              </w:rPr>
            </w:pPr>
            <w:r>
              <w:rPr>
                <w:rFonts w:ascii="Arial" w:cs="Arial" w:eastAsia="Arial" w:hAnsi="Arial"/>
                <w:sz w:val="14"/>
                <w:szCs w:val="14"/>
                <w:b w:val="1"/>
                <w:bCs w:val="1"/>
                <w:color w:val="auto"/>
              </w:rPr>
              <w:t>33</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52"/>
              <w:spacing w:after="0"/>
              <w:rPr>
                <w:sz w:val="20"/>
                <w:szCs w:val="20"/>
                <w:color w:val="auto"/>
              </w:rPr>
            </w:pPr>
            <w:r>
              <w:rPr>
                <w:rFonts w:ascii="Arial" w:cs="Arial" w:eastAsia="Arial" w:hAnsi="Arial"/>
                <w:sz w:val="14"/>
                <w:szCs w:val="14"/>
                <w:b w:val="1"/>
                <w:bCs w:val="1"/>
                <w:color w:val="auto"/>
              </w:rPr>
              <w:t>97</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272"/>
              <w:spacing w:after="0"/>
              <w:rPr>
                <w:sz w:val="20"/>
                <w:szCs w:val="20"/>
                <w:color w:val="auto"/>
              </w:rPr>
            </w:pPr>
            <w:r>
              <w:rPr>
                <w:rFonts w:ascii="Arial" w:cs="Arial" w:eastAsia="Arial" w:hAnsi="Arial"/>
                <w:sz w:val="14"/>
                <w:szCs w:val="14"/>
                <w:b w:val="1"/>
                <w:bCs w:val="1"/>
                <w:color w:val="auto"/>
              </w:rPr>
              <w:t>95</w:t>
            </w:r>
          </w:p>
        </w:tc>
        <w:tc>
          <w:tcPr>
            <w:tcW w:w="0" w:type="dxa"/>
            <w:vAlign w:val="bottom"/>
          </w:tcPr>
          <w:p>
            <w:pPr>
              <w:spacing w:after="0"/>
              <w:rPr>
                <w:sz w:val="1"/>
                <w:szCs w:val="1"/>
                <w:color w:val="auto"/>
              </w:rPr>
            </w:pPr>
          </w:p>
        </w:tc>
      </w:tr>
      <w:tr>
        <w:trPr>
          <w:trHeight w:val="205"/>
        </w:trPr>
        <w:tc>
          <w:tcPr>
            <w:tcW w:w="3120" w:type="dxa"/>
            <w:vAlign w:val="bottom"/>
          </w:tcPr>
          <w:p>
            <w:pPr>
              <w:ind w:left="40"/>
              <w:spacing w:after="0"/>
              <w:rPr>
                <w:sz w:val="20"/>
                <w:szCs w:val="20"/>
                <w:color w:val="auto"/>
              </w:rPr>
            </w:pPr>
            <w:r>
              <w:rPr>
                <w:rFonts w:ascii="Arial" w:cs="Arial" w:eastAsia="Arial" w:hAnsi="Arial"/>
                <w:sz w:val="14"/>
                <w:szCs w:val="14"/>
                <w:color w:val="auto"/>
              </w:rPr>
              <w:t>Passive</w:t>
            </w:r>
          </w:p>
        </w:tc>
        <w:tc>
          <w:tcPr>
            <w:tcW w:w="1160" w:type="dxa"/>
            <w:vAlign w:val="bottom"/>
          </w:tcPr>
          <w:p>
            <w:pPr>
              <w:spacing w:after="0"/>
              <w:rPr>
                <w:sz w:val="17"/>
                <w:szCs w:val="17"/>
                <w:color w:val="auto"/>
              </w:rPr>
            </w:pPr>
          </w:p>
        </w:tc>
        <w:tc>
          <w:tcPr>
            <w:tcW w:w="52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spacing w:after="0"/>
              <w:rPr>
                <w:sz w:val="17"/>
                <w:szCs w:val="17"/>
                <w:color w:val="auto"/>
              </w:rPr>
            </w:pPr>
          </w:p>
        </w:tc>
        <w:tc>
          <w:tcPr>
            <w:tcW w:w="520" w:type="dxa"/>
            <w:vAlign w:val="bottom"/>
          </w:tcPr>
          <w:p>
            <w:pPr>
              <w:jc w:val="right"/>
              <w:ind w:right="52"/>
              <w:spacing w:after="0"/>
              <w:rPr>
                <w:sz w:val="20"/>
                <w:szCs w:val="20"/>
                <w:color w:val="auto"/>
              </w:rPr>
            </w:pPr>
            <w:r>
              <w:rPr>
                <w:rFonts w:ascii="Arial" w:cs="Arial" w:eastAsia="Arial" w:hAnsi="Arial"/>
                <w:sz w:val="14"/>
                <w:szCs w:val="14"/>
                <w:b w:val="1"/>
                <w:bCs w:val="1"/>
                <w:color w:val="auto"/>
              </w:rPr>
              <w:t>9</w:t>
            </w: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gridSpan w:val="2"/>
          </w:tcPr>
          <w:p>
            <w:pPr>
              <w:ind w:left="74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7"/>
                <w:szCs w:val="17"/>
                <w:color w:val="auto"/>
              </w:rPr>
            </w:pPr>
          </w:p>
        </w:tc>
        <w:tc>
          <w:tcPr>
            <w:tcW w:w="1160" w:type="dxa"/>
            <w:vAlign w:val="bottom"/>
          </w:tcPr>
          <w:p>
            <w:pPr>
              <w:jc w:val="right"/>
              <w:ind w:right="52"/>
              <w:spacing w:after="0"/>
              <w:rPr>
                <w:sz w:val="20"/>
                <w:szCs w:val="20"/>
                <w:color w:val="auto"/>
              </w:rPr>
            </w:pPr>
            <w:r>
              <w:rPr>
                <w:rFonts w:ascii="Arial" w:cs="Arial" w:eastAsia="Arial" w:hAnsi="Arial"/>
                <w:sz w:val="14"/>
                <w:szCs w:val="14"/>
                <w:b w:val="1"/>
                <w:bCs w:val="1"/>
                <w:color w:val="auto"/>
              </w:rPr>
              <w:t>9</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272"/>
              <w:spacing w:after="0"/>
              <w:rPr>
                <w:sz w:val="20"/>
                <w:szCs w:val="20"/>
                <w:color w:val="auto"/>
              </w:rPr>
            </w:pPr>
            <w:r>
              <w:rPr>
                <w:rFonts w:ascii="Arial" w:cs="Arial" w:eastAsia="Arial" w:hAnsi="Arial"/>
                <w:sz w:val="14"/>
                <w:szCs w:val="14"/>
                <w:b w:val="1"/>
                <w:bCs w:val="1"/>
                <w:color w:val="auto"/>
              </w:rPr>
              <w:t>9</w:t>
            </w:r>
          </w:p>
        </w:tc>
        <w:tc>
          <w:tcPr>
            <w:tcW w:w="0" w:type="dxa"/>
            <w:vAlign w:val="bottom"/>
          </w:tcPr>
          <w:p>
            <w:pPr>
              <w:spacing w:after="0"/>
              <w:rPr>
                <w:sz w:val="1"/>
                <w:szCs w:val="1"/>
                <w:color w:val="auto"/>
              </w:rPr>
            </w:pPr>
          </w:p>
        </w:tc>
      </w:tr>
      <w:tr>
        <w:trPr>
          <w:trHeight w:val="183"/>
        </w:trPr>
        <w:tc>
          <w:tcPr>
            <w:tcW w:w="3120" w:type="dxa"/>
            <w:vAlign w:val="bottom"/>
          </w:tcPr>
          <w:p>
            <w:pPr>
              <w:ind w:left="40"/>
              <w:spacing w:after="0"/>
              <w:rPr>
                <w:sz w:val="20"/>
                <w:szCs w:val="20"/>
                <w:color w:val="auto"/>
              </w:rPr>
            </w:pPr>
            <w:r>
              <w:rPr>
                <w:rFonts w:ascii="Arial" w:cs="Arial" w:eastAsia="Arial" w:hAnsi="Arial"/>
                <w:sz w:val="14"/>
                <w:szCs w:val="14"/>
                <w:b w:val="1"/>
                <w:bCs w:val="1"/>
                <w:color w:val="auto"/>
              </w:rPr>
              <w:t>Total Fixed Income</w:t>
            </w:r>
          </w:p>
        </w:tc>
        <w:tc>
          <w:tcPr>
            <w:tcW w:w="116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121</w:t>
            </w:r>
          </w:p>
        </w:tc>
        <w:tc>
          <w:tcPr>
            <w:tcW w:w="160" w:type="dxa"/>
            <w:vAlign w:val="bottom"/>
          </w:tcPr>
          <w:p>
            <w:pPr>
              <w:spacing w:after="0"/>
              <w:rPr>
                <w:sz w:val="15"/>
                <w:szCs w:val="15"/>
                <w:color w:val="auto"/>
              </w:rPr>
            </w:pPr>
          </w:p>
        </w:tc>
        <w:tc>
          <w:tcPr>
            <w:tcW w:w="100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139</w:t>
            </w:r>
          </w:p>
        </w:tc>
        <w:tc>
          <w:tcPr>
            <w:tcW w:w="140" w:type="dxa"/>
            <w:vAlign w:val="bottom"/>
          </w:tcPr>
          <w:p>
            <w:pPr>
              <w:spacing w:after="0"/>
              <w:rPr>
                <w:sz w:val="15"/>
                <w:szCs w:val="15"/>
                <w:color w:val="auto"/>
              </w:rPr>
            </w:pPr>
          </w:p>
        </w:tc>
        <w:tc>
          <w:tcPr>
            <w:tcW w:w="5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55</w:t>
            </w:r>
          </w:p>
        </w:tc>
        <w:tc>
          <w:tcPr>
            <w:tcW w:w="16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315</w:t>
            </w:r>
          </w:p>
        </w:tc>
        <w:tc>
          <w:tcPr>
            <w:tcW w:w="30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313</w:t>
            </w:r>
          </w:p>
        </w:tc>
        <w:tc>
          <w:tcPr>
            <w:tcW w:w="0" w:type="dxa"/>
            <w:vAlign w:val="bottom"/>
          </w:tcPr>
          <w:p>
            <w:pPr>
              <w:spacing w:after="0"/>
              <w:rPr>
                <w:sz w:val="1"/>
                <w:szCs w:val="1"/>
                <w:color w:val="auto"/>
              </w:rPr>
            </w:pPr>
          </w:p>
        </w:tc>
      </w:tr>
      <w:tr>
        <w:trPr>
          <w:trHeight w:val="345"/>
        </w:trPr>
        <w:tc>
          <w:tcPr>
            <w:tcW w:w="3120" w:type="dxa"/>
            <w:vAlign w:val="bottom"/>
          </w:tcPr>
          <w:p>
            <w:pPr>
              <w:ind w:left="40"/>
              <w:spacing w:after="0"/>
              <w:rPr>
                <w:sz w:val="20"/>
                <w:szCs w:val="20"/>
                <w:color w:val="auto"/>
              </w:rPr>
            </w:pPr>
            <w:r>
              <w:rPr>
                <w:rFonts w:ascii="Arial" w:cs="Arial" w:eastAsia="Arial" w:hAnsi="Arial"/>
                <w:sz w:val="14"/>
                <w:szCs w:val="14"/>
                <w:b w:val="1"/>
                <w:bCs w:val="1"/>
                <w:color w:val="auto"/>
              </w:rPr>
              <w:t>Alternatives/Multi-Asset Solutions</w:t>
            </w:r>
            <w:r>
              <w:rPr>
                <w:rFonts w:ascii="Arial" w:cs="Arial" w:eastAsia="Arial" w:hAnsi="Arial"/>
                <w:sz w:val="17"/>
                <w:szCs w:val="17"/>
                <w:b w:val="1"/>
                <w:bCs w:val="1"/>
                <w:color w:val="auto"/>
                <w:vertAlign w:val="superscript"/>
              </w:rPr>
              <w:t>(1)</w:t>
            </w:r>
          </w:p>
        </w:tc>
        <w:tc>
          <w:tcPr>
            <w:tcW w:w="1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167</w:t>
            </w:r>
          </w:p>
        </w:tc>
        <w:tc>
          <w:tcPr>
            <w:tcW w:w="16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10</w:t>
            </w:r>
          </w:p>
        </w:tc>
        <w:tc>
          <w:tcPr>
            <w:tcW w:w="14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37</w:t>
            </w:r>
          </w:p>
        </w:tc>
        <w:tc>
          <w:tcPr>
            <w:tcW w:w="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214</w:t>
            </w:r>
          </w:p>
        </w:tc>
        <w:tc>
          <w:tcPr>
            <w:tcW w:w="3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209</w:t>
            </w:r>
          </w:p>
        </w:tc>
        <w:tc>
          <w:tcPr>
            <w:tcW w:w="0" w:type="dxa"/>
            <w:vAlign w:val="bottom"/>
          </w:tcPr>
          <w:p>
            <w:pPr>
              <w:spacing w:after="0"/>
              <w:rPr>
                <w:sz w:val="1"/>
                <w:szCs w:val="1"/>
                <w:color w:val="auto"/>
              </w:rPr>
            </w:pPr>
          </w:p>
        </w:tc>
      </w:tr>
      <w:tr>
        <w:trPr>
          <w:trHeight w:val="193"/>
        </w:trPr>
        <w:tc>
          <w:tcPr>
            <w:tcW w:w="3120" w:type="dxa"/>
            <w:vAlign w:val="bottom"/>
          </w:tcPr>
          <w:p>
            <w:pPr>
              <w:ind w:left="40"/>
              <w:spacing w:after="0"/>
              <w:rPr>
                <w:sz w:val="20"/>
                <w:szCs w:val="20"/>
                <w:color w:val="auto"/>
              </w:rPr>
            </w:pPr>
            <w:r>
              <w:rPr>
                <w:rFonts w:ascii="Arial" w:cs="Arial" w:eastAsia="Arial" w:hAnsi="Arial"/>
                <w:sz w:val="14"/>
                <w:szCs w:val="14"/>
                <w:b w:val="1"/>
                <w:bCs w:val="1"/>
                <w:color w:val="auto"/>
              </w:rPr>
              <w:t>Total</w:t>
            </w:r>
          </w:p>
        </w:tc>
        <w:tc>
          <w:tcPr>
            <w:tcW w:w="1160" w:type="dxa"/>
            <w:vAlign w:val="bottom"/>
          </w:tcPr>
          <w:p>
            <w:pPr>
              <w:jc w:val="right"/>
              <w:ind w:right="992"/>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ind w:right="32"/>
              <w:spacing w:after="0"/>
              <w:rPr>
                <w:sz w:val="20"/>
                <w:szCs w:val="20"/>
                <w:color w:val="auto"/>
              </w:rPr>
            </w:pPr>
            <w:r>
              <w:rPr>
                <w:rFonts w:ascii="Arial" w:cs="Arial" w:eastAsia="Arial" w:hAnsi="Arial"/>
                <w:sz w:val="14"/>
                <w:szCs w:val="14"/>
                <w:b w:val="1"/>
                <w:bCs w:val="1"/>
                <w:color w:val="auto"/>
              </w:rPr>
              <w:t>370</w:t>
            </w:r>
          </w:p>
        </w:tc>
        <w:tc>
          <w:tcPr>
            <w:tcW w:w="160" w:type="dxa"/>
            <w:vAlign w:val="bottom"/>
          </w:tcPr>
          <w:p>
            <w:pPr>
              <w:spacing w:after="0"/>
              <w:rPr>
                <w:sz w:val="16"/>
                <w:szCs w:val="16"/>
                <w:color w:val="auto"/>
              </w:rPr>
            </w:pPr>
          </w:p>
        </w:tc>
        <w:tc>
          <w:tcPr>
            <w:tcW w:w="1000" w:type="dxa"/>
            <w:vAlign w:val="bottom"/>
          </w:tcPr>
          <w:p>
            <w:pPr>
              <w:jc w:val="right"/>
              <w:ind w:right="832"/>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ind w:right="52"/>
              <w:spacing w:after="0"/>
              <w:rPr>
                <w:sz w:val="20"/>
                <w:szCs w:val="20"/>
                <w:color w:val="auto"/>
              </w:rPr>
            </w:pPr>
            <w:r>
              <w:rPr>
                <w:rFonts w:ascii="Arial" w:cs="Arial" w:eastAsia="Arial" w:hAnsi="Arial"/>
                <w:sz w:val="14"/>
                <w:szCs w:val="14"/>
                <w:b w:val="1"/>
                <w:bCs w:val="1"/>
                <w:color w:val="auto"/>
              </w:rPr>
              <w:t>362</w:t>
            </w:r>
          </w:p>
        </w:tc>
        <w:tc>
          <w:tcPr>
            <w:tcW w:w="140" w:type="dxa"/>
            <w:vAlign w:val="bottom"/>
          </w:tcPr>
          <w:p>
            <w:pPr>
              <w:spacing w:after="0"/>
              <w:rPr>
                <w:sz w:val="16"/>
                <w:szCs w:val="16"/>
                <w:color w:val="auto"/>
              </w:rPr>
            </w:pPr>
          </w:p>
        </w:tc>
        <w:tc>
          <w:tcPr>
            <w:tcW w:w="500" w:type="dxa"/>
            <w:vAlign w:val="bottom"/>
          </w:tcPr>
          <w:p>
            <w:pPr>
              <w:jc w:val="right"/>
              <w:ind w:right="332"/>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32"/>
              <w:spacing w:after="0"/>
              <w:rPr>
                <w:sz w:val="20"/>
                <w:szCs w:val="20"/>
                <w:color w:val="auto"/>
              </w:rPr>
            </w:pPr>
            <w:r>
              <w:rPr>
                <w:rFonts w:ascii="Arial" w:cs="Arial" w:eastAsia="Arial" w:hAnsi="Arial"/>
                <w:sz w:val="14"/>
                <w:szCs w:val="14"/>
                <w:b w:val="1"/>
                <w:bCs w:val="1"/>
                <w:color w:val="auto"/>
              </w:rPr>
              <w:t>167</w:t>
            </w:r>
          </w:p>
        </w:tc>
        <w:tc>
          <w:tcPr>
            <w:tcW w:w="160" w:type="dxa"/>
            <w:vAlign w:val="bottom"/>
          </w:tcPr>
          <w:p>
            <w:pPr>
              <w:spacing w:after="0"/>
              <w:rPr>
                <w:sz w:val="16"/>
                <w:szCs w:val="16"/>
                <w:color w:val="auto"/>
              </w:rPr>
            </w:pPr>
          </w:p>
        </w:tc>
        <w:tc>
          <w:tcPr>
            <w:tcW w:w="340" w:type="dxa"/>
            <w:vAlign w:val="bottom"/>
          </w:tcPr>
          <w:p>
            <w:pPr>
              <w:jc w:val="right"/>
              <w:ind w:right="192"/>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Pr>
          <w:p>
            <w:pPr>
              <w:jc w:val="right"/>
              <w:ind w:right="52"/>
              <w:spacing w:after="0"/>
              <w:rPr>
                <w:sz w:val="20"/>
                <w:szCs w:val="20"/>
                <w:color w:val="auto"/>
              </w:rPr>
            </w:pPr>
            <w:r>
              <w:rPr>
                <w:rFonts w:ascii="Arial" w:cs="Arial" w:eastAsia="Arial" w:hAnsi="Arial"/>
                <w:sz w:val="14"/>
                <w:szCs w:val="14"/>
                <w:b w:val="1"/>
                <w:bCs w:val="1"/>
                <w:color w:val="auto"/>
              </w:rPr>
              <w:t>899</w:t>
            </w:r>
          </w:p>
        </w:tc>
        <w:tc>
          <w:tcPr>
            <w:tcW w:w="5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272"/>
              <w:spacing w:after="0"/>
              <w:rPr>
                <w:sz w:val="20"/>
                <w:szCs w:val="20"/>
                <w:color w:val="auto"/>
              </w:rPr>
            </w:pPr>
            <w:r>
              <w:rPr>
                <w:rFonts w:ascii="Arial" w:cs="Arial" w:eastAsia="Arial" w:hAnsi="Arial"/>
                <w:sz w:val="14"/>
                <w:szCs w:val="14"/>
                <w:b w:val="1"/>
                <w:bCs w:val="1"/>
                <w:color w:val="auto"/>
              </w:rPr>
              <w:t>882</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31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3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At April 30, 2026</w:t>
            </w: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12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120" w:type="dxa"/>
            <w:vAlign w:val="bottom"/>
          </w:tcPr>
          <w:p>
            <w:pPr>
              <w:ind w:left="40"/>
              <w:spacing w:after="0"/>
              <w:rPr>
                <w:sz w:val="20"/>
                <w:szCs w:val="20"/>
                <w:color w:val="auto"/>
              </w:rPr>
            </w:pPr>
            <w:r>
              <w:rPr>
                <w:rFonts w:ascii="Arial" w:cs="Arial" w:eastAsia="Arial" w:hAnsi="Arial"/>
                <w:sz w:val="14"/>
                <w:szCs w:val="14"/>
                <w:b w:val="1"/>
                <w:bCs w:val="1"/>
                <w:color w:val="auto"/>
              </w:rPr>
              <w:t>Total</w:t>
            </w:r>
          </w:p>
        </w:tc>
        <w:tc>
          <w:tcPr>
            <w:tcW w:w="1160" w:type="dxa"/>
            <w:vAlign w:val="bottom"/>
            <w:tcBorders>
              <w:bottom w:val="single" w:sz="8" w:color="auto"/>
            </w:tcBorders>
          </w:tcPr>
          <w:p>
            <w:pPr>
              <w:jc w:val="right"/>
              <w:ind w:right="992"/>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363</w:t>
            </w:r>
          </w:p>
        </w:tc>
        <w:tc>
          <w:tcPr>
            <w:tcW w:w="160" w:type="dxa"/>
            <w:vAlign w:val="bottom"/>
          </w:tcPr>
          <w:p>
            <w:pPr>
              <w:spacing w:after="0"/>
              <w:rPr>
                <w:sz w:val="16"/>
                <w:szCs w:val="16"/>
                <w:color w:val="auto"/>
              </w:rPr>
            </w:pPr>
          </w:p>
        </w:tc>
        <w:tc>
          <w:tcPr>
            <w:tcW w:w="1000" w:type="dxa"/>
            <w:vAlign w:val="bottom"/>
            <w:tcBorders>
              <w:bottom w:val="single" w:sz="8" w:color="auto"/>
            </w:tcBorders>
          </w:tcPr>
          <w:p>
            <w:pPr>
              <w:jc w:val="right"/>
              <w:ind w:right="832"/>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356</w:t>
            </w:r>
          </w:p>
        </w:tc>
        <w:tc>
          <w:tcPr>
            <w:tcW w:w="140" w:type="dxa"/>
            <w:vAlign w:val="bottom"/>
          </w:tcPr>
          <w:p>
            <w:pPr>
              <w:spacing w:after="0"/>
              <w:rPr>
                <w:sz w:val="16"/>
                <w:szCs w:val="16"/>
                <w:color w:val="auto"/>
              </w:rPr>
            </w:pPr>
          </w:p>
        </w:tc>
        <w:tc>
          <w:tcPr>
            <w:tcW w:w="5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163</w:t>
            </w:r>
          </w:p>
        </w:tc>
        <w:tc>
          <w:tcPr>
            <w:tcW w:w="160" w:type="dxa"/>
            <w:vAlign w:val="bottom"/>
          </w:tcPr>
          <w:p>
            <w:pPr>
              <w:spacing w:after="0"/>
              <w:rPr>
                <w:sz w:val="16"/>
                <w:szCs w:val="16"/>
                <w:color w:val="auto"/>
              </w:rPr>
            </w:pPr>
          </w:p>
        </w:tc>
        <w:tc>
          <w:tcPr>
            <w:tcW w:w="3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882</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ind w:left="180" w:hanging="135"/>
        <w:spacing w:after="0"/>
        <w:tabs>
          <w:tab w:leader="none" w:pos="180" w:val="left"/>
        </w:tabs>
        <w:numPr>
          <w:ilvl w:val="0"/>
          <w:numId w:val="3"/>
        </w:numPr>
        <w:rPr>
          <w:rFonts w:ascii="Arial" w:cs="Arial" w:eastAsia="Arial" w:hAnsi="Arial"/>
          <w:sz w:val="16"/>
          <w:szCs w:val="16"/>
          <w:color w:val="auto"/>
          <w:vertAlign w:val="superscript"/>
        </w:rPr>
      </w:pPr>
      <w:r>
        <w:rPr>
          <w:rFonts w:ascii="Arial" w:cs="Arial" w:eastAsia="Arial" w:hAnsi="Arial"/>
          <w:sz w:val="11"/>
          <w:szCs w:val="11"/>
          <w:color w:val="auto"/>
        </w:rPr>
        <w:t>Includes certain multi-asset solutions and services not included in equity or fixed income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tabs>
          <w:tab w:leader="none" w:pos="1400" w:val="left"/>
        </w:tabs>
        <w:rPr>
          <w:sz w:val="20"/>
          <w:szCs w:val="20"/>
          <w:color w:val="auto"/>
        </w:rPr>
      </w:pPr>
      <w:r>
        <w:rPr>
          <w:rFonts w:ascii="Arial" w:cs="Arial" w:eastAsia="Arial" w:hAnsi="Arial"/>
          <w:sz w:val="11"/>
          <w:szCs w:val="11"/>
          <w:color w:val="auto"/>
        </w:rPr>
        <w:t>www.alliancebernstein.com</w:t>
        <w:tab/>
        <w:t>1 of 2</w:t>
      </w:r>
    </w:p>
    <w:p>
      <w:pPr>
        <w:sectPr>
          <w:pgSz w:w="11900" w:h="16838" w:orient="portrait"/>
          <w:cols w:equalWidth="0" w:num="1">
            <w:col w:w="11280"/>
          </w:cols>
          <w:pgMar w:left="300" w:top="332" w:right="319" w:bottom="1440" w:gutter="0" w:footer="0" w:header="0"/>
          <w:type w:val="continuous"/>
        </w:sectPr>
      </w:pPr>
    </w:p>
    <w:bookmarkStart w:id="5" w:name="page6"/>
    <w:bookmarkEnd w:id="5"/>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Cautions Regarding Forward-Looking Statements</w:t>
      </w:r>
    </w:p>
    <w:p>
      <w:pPr>
        <w:spacing w:after="0" w:line="95" w:lineRule="exact"/>
        <w:rPr>
          <w:sz w:val="20"/>
          <w:szCs w:val="20"/>
          <w:color w:val="auto"/>
        </w:rPr>
      </w:pPr>
    </w:p>
    <w:p>
      <w:pPr>
        <w:jc w:val="both"/>
        <w:spacing w:after="0" w:line="325" w:lineRule="auto"/>
        <w:rPr>
          <w:sz w:val="20"/>
          <w:szCs w:val="20"/>
          <w:color w:val="auto"/>
        </w:rPr>
      </w:pPr>
      <w:r>
        <w:rPr>
          <w:rFonts w:ascii="Arial" w:cs="Arial" w:eastAsia="Arial" w:hAnsi="Arial"/>
          <w:sz w:val="12"/>
          <w:szCs w:val="12"/>
          <w:color w:val="auto"/>
        </w:rPr>
        <w:t>Certain statements provided by management in this news release are “forward-looking statements” within the meaning of the Private Securities Litigation Reform Act of 1995. Such forward-looking statements are subject to risks, uncertainties and other factors that could cause actual results to differ materially from future results expressed or implied by such forward-looking statements. The most significant of these factors include, but are not limited to, the following: the performance of financial markets, the investment performance of sponsored investment products and separately-managed accounts, general economic conditions, industry trends, future acquisitions, integration of acquired companies, competitive conditions, and government regulations, including changes in tax regulations and rates and the manner in which the earnings of publicly-traded partnerships are taxed. AB cautions readers to carefully consider such factors. Further, such forward-looking statements speak only as of the date on which such statements are made; AB undertakes no obligation to update any forward-looking statements to reflect events or circumstances after the date of such statements. For further information regarding these forward-looking statements and the factors that could cause actual results to differ, see “Risk Factors” and “Cautions Regarding Forward-Looking Statements” in AB’s Form 10-K for the year ended December 31, 2025 or form 10-Q for the quarter ended March 31, 2026. Any or all of the forward-looking statements made in this news release, Form 10-K, Form 10-Q, other documents AB files with or furnishes to the SEC and any other public statements issued by AB, may turn out to be wrong. It is important to remember that other factors besides those listed in “Risk Factors” and “Cautions Regarding Forward-Looking Statements”, and those listed above, could also adversely affect AB’s financial condition, results of operations and business prospects.</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AllianceBernstein</w:t>
      </w:r>
    </w:p>
    <w:p>
      <w:pPr>
        <w:spacing w:after="0" w:line="145"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AllianceBernstein is a leading global investment management firm that offers diversified investment services to institutional investors, individuals and private wealth clients in major world markets.</w:t>
      </w:r>
    </w:p>
    <w:p>
      <w:pPr>
        <w:spacing w:after="0" w:line="91"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As of March 31, 2026, including both the general partnership and limited partnership interests in AllianceBernstein, AllianceBernstein Holding owned approximately 31.4% of AllianceBernstein. Including both the general partnership and limited partnership interest in AllianceBernstein Holding and AllianceBernstein, Equitable Holdings, Inc. ("EQH"), owned an approximate 68.0% economic interest in AllianceBernstein.</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Additional information about AB may be found on our website, </w:t>
      </w:r>
      <w:r>
        <w:rPr>
          <w:rFonts w:ascii="Arial" w:cs="Arial" w:eastAsia="Arial" w:hAnsi="Arial"/>
          <w:sz w:val="14"/>
          <w:szCs w:val="14"/>
          <w:u w:val="single" w:color="auto"/>
          <w:color w:val="0000FF"/>
        </w:rPr>
        <w:t>www.alliancebernstein.com</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tabs>
          <w:tab w:leader="none" w:pos="1400" w:val="left"/>
        </w:tabs>
        <w:rPr>
          <w:sz w:val="20"/>
          <w:szCs w:val="20"/>
          <w:color w:val="auto"/>
        </w:rPr>
      </w:pPr>
      <w:r>
        <w:rPr>
          <w:rFonts w:ascii="Arial" w:cs="Arial" w:eastAsia="Arial" w:hAnsi="Arial"/>
          <w:sz w:val="11"/>
          <w:szCs w:val="11"/>
          <w:color w:val="auto"/>
        </w:rPr>
        <w:t>www.alliancebernstein.com</w:t>
        <w:tab/>
        <w:t>2 of 2</w:t>
      </w:r>
    </w:p>
    <w:sectPr>
      <w:pgSz w:w="11900" w:h="16838" w:orient="portrait"/>
      <w:cols w:equalWidth="0" w:num="1">
        <w:col w:w="11280"/>
      </w:cols>
      <w:pgMar w:left="300" w:top="144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2026-06-10T16:36:23Z</dcterms:created>
  <dcterms:modified xsi:type="dcterms:W3CDTF">2026-06-10T16:36:23Z</dcterms:modified>
</cp:coreProperties>
</file>