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ALLIANCEBERNSTEIN L.P.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501 COMMERCE STREET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NASHVILLE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02/23/2024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AB CarVal Credit Opportunities Fund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NONE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17"/>
        <w:gridCol w:w="1973"/>
        <w:gridCol w:w="1165"/>
        <w:gridCol w:w="2650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Shares of beneficial interest</w:t>
            </w:r>
          </w:p>
        </w:tc>
        <w:tc>
          <w:tcPr>
            <w:tcW w:w="1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4,168,580.78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Affiliate of the Investment Adviser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Taylor K. Wilkins, Assistant Secretary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02/23/2024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109448" TargetMode="External"/><Relationship Id="rId3" Type="http://schemas.openxmlformats.org/officeDocument/2006/relationships/hyperlink" Target="http://www.sec.gov/cgi-bin/browse-edgar?action=getcompany&amp;CIK=0002012326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398</Words>
  <Characters>2225</Characters>
  <CharactersWithSpaces>2578</CharactersWithSpaces>
  <Paragraphs>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