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EPAM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29414B104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29414B104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AllianceBernstein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13-4064930</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862,928</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925,031</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3,343</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928,374</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right="7720" w:hanging="707"/>
        <w:spacing w:after="0" w:line="286" w:lineRule="auto"/>
        <w:tabs>
          <w:tab w:leader="none" w:pos="16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EPAM Systems Inc</w:t>
      </w:r>
    </w:p>
    <w:p>
      <w:pPr>
        <w:spacing w:after="0" w:line="45" w:lineRule="exact"/>
        <w:rPr>
          <w:rFonts w:ascii="Times New Roman" w:cs="Times New Roman" w:eastAsia="Times New Roman" w:hAnsi="Times New Roman"/>
          <w:sz w:val="21"/>
          <w:szCs w:val="21"/>
          <w:b w:val="1"/>
          <w:bCs w:val="1"/>
          <w:color w:val="auto"/>
        </w:rPr>
      </w:pPr>
    </w:p>
    <w:p>
      <w:pPr>
        <w:ind w:left="1620" w:hanging="707"/>
        <w:spacing w:after="0"/>
        <w:tabs>
          <w:tab w:leader="none" w:pos="16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41 UNIVERSITY DRIVE, SUITE 202, NEWTOWN, PA 18940</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620" w:hanging="707"/>
        <w:spacing w:after="0"/>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AllianceBernstein L.P. ("AllianceBernstein L.P.")</w:t>
      </w:r>
    </w:p>
    <w:p>
      <w:pPr>
        <w:spacing w:after="0" w:line="97" w:lineRule="exact"/>
        <w:rPr>
          <w:rFonts w:ascii="Times New Roman" w:cs="Times New Roman" w:eastAsia="Times New Roman" w:hAnsi="Times New Roman"/>
          <w:sz w:val="22"/>
          <w:szCs w:val="22"/>
          <w:b w:val="1"/>
          <w:bCs w:val="1"/>
          <w:color w:val="auto"/>
        </w:rPr>
      </w:pPr>
    </w:p>
    <w:p>
      <w:pPr>
        <w:ind w:left="1620" w:right="4000" w:hanging="707"/>
        <w:spacing w:after="0" w:line="262" w:lineRule="auto"/>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501 Commerce Street, Nashville, TN 37203</w:t>
      </w:r>
    </w:p>
    <w:p>
      <w:pPr>
        <w:spacing w:after="0" w:line="180" w:lineRule="exact"/>
        <w:rPr>
          <w:rFonts w:ascii="Times New Roman" w:cs="Times New Roman" w:eastAsia="Times New Roman" w:hAnsi="Times New Roman"/>
          <w:sz w:val="22"/>
          <w:szCs w:val="22"/>
          <w:b w:val="1"/>
          <w:bCs w:val="1"/>
          <w:color w:val="auto"/>
        </w:rPr>
      </w:pPr>
    </w:p>
    <w:p>
      <w:pPr>
        <w:ind w:left="1620" w:right="12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media outlets, please contact Jennifer Will at AllianceBernstein (212-969-1157) with any questions. All other questions can be directed to Section13USFilings@alliancebernstein.com.</w:t>
      </w:r>
    </w:p>
    <w:p>
      <w:pPr>
        <w:spacing w:after="0" w:line="73" w:lineRule="exact"/>
        <w:rPr>
          <w:rFonts w:ascii="Times New Roman" w:cs="Times New Roman" w:eastAsia="Times New Roman" w:hAnsi="Times New Roman"/>
          <w:sz w:val="22"/>
          <w:szCs w:val="22"/>
          <w:b w:val="1"/>
          <w:bCs w:val="1"/>
          <w:color w:val="auto"/>
        </w:rPr>
      </w:pPr>
    </w:p>
    <w:p>
      <w:pPr>
        <w:ind w:left="1620" w:right="836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Delaware</w:t>
      </w:r>
    </w:p>
    <w:p>
      <w:pPr>
        <w:spacing w:after="0" w:line="45" w:lineRule="exact"/>
        <w:rPr>
          <w:rFonts w:ascii="Times New Roman" w:cs="Times New Roman" w:eastAsia="Times New Roman" w:hAnsi="Times New Roman"/>
          <w:sz w:val="21"/>
          <w:szCs w:val="21"/>
          <w:b w:val="1"/>
          <w:bCs w:val="1"/>
          <w:color w:val="auto"/>
        </w:rPr>
      </w:pPr>
    </w:p>
    <w:p>
      <w:pPr>
        <w:ind w:left="1620" w:right="7000" w:hanging="707"/>
        <w:spacing w:after="0" w:line="262" w:lineRule="auto"/>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620" w:right="794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29414B104</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34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church plan that is excluded from the definition of an investment company under Section 3(c)</w:t>
      </w:r>
    </w:p>
    <w:p>
      <w:pPr>
        <w:spacing w:after="0" w:line="26" w:lineRule="exact"/>
        <w:rPr>
          <w:sz w:val="20"/>
          <w:szCs w:val="20"/>
          <w:color w:val="auto"/>
        </w:rPr>
      </w:pPr>
    </w:p>
    <w:p>
      <w:pPr>
        <w:ind w:right="2940"/>
        <w:spacing w:after="0" w:line="363" w:lineRule="auto"/>
        <w:tabs>
          <w:tab w:leader="none" w:pos="41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Investment Company Act of 1940 (15 U.S.C. 80a-3); Group, in accordance with Rule 240.13d-1(b)(1)(ii)(J).</w:t>
      </w:r>
    </w:p>
    <w:p>
      <w:pPr>
        <w:spacing w:after="0" w:line="344" w:lineRule="exact"/>
        <w:rPr>
          <w:sz w:val="20"/>
          <w:szCs w:val="20"/>
          <w:color w:val="auto"/>
        </w:rPr>
      </w:pPr>
    </w:p>
    <w:p>
      <w:pPr>
        <w:sectPr>
          <w:pgSz w:w="11900" w:h="16838" w:orient="portrait"/>
          <w:cols w:equalWidth="0" w:num="2">
            <w:col w:w="1980" w:space="540"/>
            <w:col w:w="8500"/>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62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928,374 shares acquired solely for investment purposes on behalf of client discretionary investment advisory accounts.*</w:t>
      </w:r>
    </w:p>
    <w:p>
      <w:pPr>
        <w:spacing w:after="0" w:line="77" w:lineRule="exact"/>
        <w:rPr>
          <w:rFonts w:ascii="Times New Roman" w:cs="Times New Roman" w:eastAsia="Times New Roman" w:hAnsi="Times New Roman"/>
          <w:sz w:val="22"/>
          <w:szCs w:val="22"/>
          <w:color w:val="auto"/>
        </w:rPr>
      </w:pPr>
    </w:p>
    <w:p>
      <w:pPr>
        <w:ind w:left="1620" w:right="7940" w:hanging="707"/>
        <w:spacing w:after="0" w:line="358" w:lineRule="auto"/>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1.6%</w:t>
      </w:r>
    </w:p>
    <w:p>
      <w:pPr>
        <w:sectPr>
          <w:pgSz w:w="11900" w:h="16838" w:orient="portrait"/>
          <w:cols w:equalWidth="0" w:num="1">
            <w:col w:w="11020"/>
          </w:cols>
          <w:pgMar w:left="400" w:top="419" w:right="479" w:bottom="0" w:gutter="0" w:footer="0" w:header="0"/>
          <w:type w:val="continuous"/>
        </w:sectPr>
      </w:pPr>
    </w:p>
    <w:p>
      <w:pPr>
        <w:spacing w:after="0" w:line="1" w:lineRule="exact"/>
        <w:rPr>
          <w:sz w:val="20"/>
          <w:szCs w:val="20"/>
          <w:color w:val="auto"/>
        </w:rPr>
      </w:pPr>
    </w:p>
    <w:p>
      <w:pPr>
        <w:ind w:left="1620" w:hanging="707"/>
        <w:spacing w:after="0"/>
        <w:tabs>
          <w:tab w:leader="none" w:pos="16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520" w:hanging="905"/>
        <w:spacing w:after="0"/>
        <w:tabs>
          <w:tab w:leader="none" w:pos="25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520" w:hanging="905"/>
        <w:spacing w:after="0"/>
        <w:tabs>
          <w:tab w:leader="none" w:pos="25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520" w:hanging="905"/>
        <w:spacing w:after="0"/>
        <w:tabs>
          <w:tab w:leader="none" w:pos="2520" w:val="left"/>
        </w:tabs>
        <w:numPr>
          <w:ilvl w:val="1"/>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520" w:right="780" w:hanging="905"/>
        <w:spacing w:after="0" w:line="185" w:lineRule="auto"/>
        <w:tabs>
          <w:tab w:leader="none" w:pos="2520" w:val="left"/>
        </w:tabs>
        <w:numPr>
          <w:ilvl w:val="1"/>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862,928</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925,031</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3,343</w:t>
      </w:r>
    </w:p>
    <w:p>
      <w:pPr>
        <w:spacing w:after="0" w:line="246" w:lineRule="exact"/>
        <w:rPr>
          <w:sz w:val="20"/>
          <w:szCs w:val="20"/>
          <w:color w:val="auto"/>
        </w:rPr>
      </w:pPr>
    </w:p>
    <w:p>
      <w:pPr>
        <w:sectPr>
          <w:pgSz w:w="11900" w:h="16838" w:orient="portrait"/>
          <w:cols w:equalWidth="0" w:num="2">
            <w:col w:w="6700" w:space="280"/>
            <w:col w:w="4040"/>
          </w:cols>
          <w:pgMar w:left="400" w:top="419" w:right="479" w:bottom="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*AllianceBernstein L.P. is a majority owned subsidiary of Equitable Holdings, Inc. ("EQH"). AllianceBernstein operates under</w:t>
      </w:r>
    </w:p>
    <w:p>
      <w:pPr>
        <w:sectPr>
          <w:pgSz w:w="11900" w:h="16838" w:orient="portrait"/>
          <w:cols w:equalWidth="0" w:num="1">
            <w:col w:w="11020"/>
          </w:cols>
          <w:pgMar w:left="400" w:top="419" w:right="479" w:bottom="0" w:gutter="0" w:footer="0" w:header="0"/>
          <w:type w:val="continuous"/>
        </w:sectPr>
      </w:pPr>
    </w:p>
    <w:bookmarkStart w:id="3" w:name="page4"/>
    <w:bookmarkEnd w:id="3"/>
    <w:p>
      <w:pPr>
        <w:jc w:val="both"/>
        <w:ind w:right="40"/>
        <w:spacing w:after="0" w:line="244" w:lineRule="auto"/>
        <w:rPr>
          <w:sz w:val="20"/>
          <w:szCs w:val="20"/>
          <w:color w:val="auto"/>
        </w:rPr>
      </w:pPr>
      <w:r>
        <w:rPr>
          <w:rFonts w:ascii="Times New Roman" w:cs="Times New Roman" w:eastAsia="Times New Roman" w:hAnsi="Times New Roman"/>
          <w:sz w:val="22"/>
          <w:szCs w:val="22"/>
          <w:color w:val="auto"/>
        </w:rPr>
        <w:t>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p>
      <w:pPr>
        <w:spacing w:after="0" w:line="8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X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Melissa Guerra</w:t>
      </w:r>
    </w:p>
    <w:p>
      <w:pPr>
        <w:spacing w:after="0" w:line="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Name: Melissa Guerra</w:t>
      </w:r>
    </w:p>
    <w:p>
      <w:pPr>
        <w:spacing w:after="0" w:line="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Title: Vice President</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4"/>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2024-02-14T14:03:05Z</dcterms:created>
  <dcterms:modified xsi:type="dcterms:W3CDTF">2024-02-14T14:03:05Z</dcterms:modified>
</cp:coreProperties>
</file>