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12, 2026 (May 11, 2026)</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ALLIANCEBERNSTEIN HOLDING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center"/>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001-09818</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13-3434400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20" w:after="283"/>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12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56"/>
        <w:gridCol w:w="1818"/>
        <w:gridCol w:w="1801"/>
        <w:gridCol w:w="433"/>
        <w:gridCol w:w="433"/>
        <w:gridCol w:w="435"/>
        <w:gridCol w:w="913"/>
        <w:gridCol w:w="913"/>
        <w:gridCol w:w="1303"/>
      </w:tblGrid>
      <w:tr>
        <w:trPr/>
        <w:tc>
          <w:tcPr>
            <w:tcW w:w="215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rep. assignments of beneficial ownership of limited partnership interests in AB Holding</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2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7.01.</w:t>
      </w:r>
      <w:r>
        <w:rPr>
          <w:color w:val="000000"/>
        </w:rPr>
        <w:t>    </w:t>
      </w:r>
      <w:r>
        <w:rPr>
          <w:rFonts w:ascii="Times New Roman;serif" w:hAnsi="Times New Roman;serif"/>
          <w:b/>
          <w:color w:val="000000"/>
          <w:sz w:val="24"/>
          <w:u w:val="single"/>
        </w:rPr>
        <w:t>Regulation FD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AllianceBernstein L.P. (“</w:t>
      </w:r>
      <w:r>
        <w:rPr>
          <w:rFonts w:ascii="Times New Roman;serif" w:hAnsi="Times New Roman;serif"/>
          <w:b w:val="false"/>
          <w:color w:val="000000"/>
          <w:sz w:val="24"/>
          <w:u w:val="single"/>
        </w:rPr>
        <w:t>AB</w:t>
      </w:r>
      <w:r>
        <w:rPr>
          <w:color w:val="000000"/>
        </w:rPr>
        <w:t>”</w:t>
      </w:r>
      <w:r>
        <w:rPr>
          <w:rFonts w:ascii="Times New Roman;serif" w:hAnsi="Times New Roman;serif"/>
          <w:b w:val="false"/>
          <w:color w:val="000000"/>
          <w:sz w:val="24"/>
        </w:rPr>
        <w:t>) and AllianceBernstein Holding L.P. are furnishing a news release (“</w:t>
      </w:r>
      <w:r>
        <w:rPr>
          <w:rFonts w:ascii="Times New Roman;serif" w:hAnsi="Times New Roman;serif"/>
          <w:b w:val="false"/>
          <w:color w:val="000000"/>
          <w:sz w:val="24"/>
          <w:u w:val="single"/>
        </w:rPr>
        <w:t>AUM Release</w:t>
      </w:r>
      <w:r>
        <w:rPr>
          <w:color w:val="000000"/>
        </w:rPr>
        <w:t>”</w:t>
      </w:r>
      <w:r>
        <w:rPr>
          <w:rFonts w:ascii="Times New Roman;serif" w:hAnsi="Times New Roman;serif"/>
          <w:b w:val="false"/>
          <w:color w:val="000000"/>
          <w:sz w:val="24"/>
        </w:rPr>
        <w:t>) issued on May 11, 2026 announcing AB’s preliminary assets under management as of April 30, 2026. The AUM Release is attached hereto as Exhibit 99.01.</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Item 9.01.</w:t>
      </w:r>
      <w:r>
        <w:rPr>
          <w:color w:val="000000"/>
        </w:rPr>
        <w:t>    </w:t>
      </w:r>
      <w:r>
        <w:rPr>
          <w:rFonts w:ascii="Times New Roman;serif" w:hAnsi="Times New Roman;serif"/>
          <w:b/>
          <w:color w:val="000000"/>
          <w:sz w:val="22"/>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945"/>
        <w:jc w:val="both"/>
        <w:rPr/>
      </w:pPr>
      <w:r>
        <w:rPr>
          <w:rFonts w:ascii="Times New Roman;serif" w:hAnsi="Times New Roman;serif"/>
          <w:b w:val="false"/>
          <w:color w:val="000000"/>
          <w:sz w:val="24"/>
        </w:rPr>
        <w:t>99.01    </w:t>
      </w:r>
      <w:hyperlink w:anchor="ex9901ab2026aprilaumrelease.htm">
        <w:r>
          <w:rPr>
            <w:rStyle w:val="InternetLink"/>
            <w:rFonts w:ascii="Times New Roman;serif" w:hAnsi="Times New Roman;serif"/>
            <w:b w:val="false"/>
            <w:color w:val="0000FF"/>
            <w:sz w:val="24"/>
            <w:u w:val="single"/>
          </w:rPr>
          <w:t>AUM Release.</w:t>
        </w:r>
      </w:hyperlink>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877" w:type="dxa"/>
        <w:jc w:val="center"/>
        <w:tblInd w:w="0" w:type="dxa"/>
        <w:tblLayout w:type="fixed"/>
        <w:tblCellMar>
          <w:top w:w="28" w:type="dxa"/>
          <w:left w:w="28" w:type="dxa"/>
          <w:bottom w:w="28" w:type="dxa"/>
          <w:right w:w="28" w:type="dxa"/>
        </w:tblCellMar>
      </w:tblPr>
      <w:tblGrid>
        <w:gridCol w:w="777"/>
        <w:gridCol w:w="682"/>
        <w:gridCol w:w="685"/>
        <w:gridCol w:w="109"/>
        <w:gridCol w:w="109"/>
        <w:gridCol w:w="109"/>
        <w:gridCol w:w="686"/>
        <w:gridCol w:w="686"/>
        <w:gridCol w:w="686"/>
        <w:gridCol w:w="686"/>
        <w:gridCol w:w="686"/>
        <w:gridCol w:w="976"/>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LLIANCEBERNSTEIN HOLDING L.P.</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May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Mark Manley</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33" w:type="dxa"/>
        <w:jc w:val="center"/>
        <w:tblInd w:w="0" w:type="dxa"/>
        <w:tblLayout w:type="fixed"/>
        <w:tblCellMar>
          <w:top w:w="28" w:type="dxa"/>
          <w:left w:w="28" w:type="dxa"/>
          <w:bottom w:w="28" w:type="dxa"/>
          <w:right w:w="28" w:type="dxa"/>
        </w:tblCellMar>
      </w:tblPr>
      <w:tblGrid>
        <w:gridCol w:w="395"/>
        <w:gridCol w:w="347"/>
        <w:gridCol w:w="349"/>
        <w:gridCol w:w="1045"/>
        <w:gridCol w:w="1045"/>
        <w:gridCol w:w="1046"/>
        <w:gridCol w:w="997"/>
        <w:gridCol w:w="997"/>
        <w:gridCol w:w="141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313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Ioanis Jorgali, Investors</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629.213.6139</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ioanis.jorgali@alliancebernstein.com</w:t>
            </w:r>
          </w:p>
        </w:tc>
        <w:tc>
          <w:tcPr>
            <w:tcW w:w="340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Carly Symington, Media</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629.213.5568</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carly.symington@alliancebernstein.com</w:t>
            </w:r>
          </w:p>
        </w:tc>
      </w:tr>
    </w:tbl>
    <w:p>
      <w:pPr>
        <w:pStyle w:val="TextBody"/>
        <w:bidi w:val="0"/>
        <w:spacing w:before="60" w:after="283"/>
        <w:jc w:val="center"/>
        <w:rPr/>
      </w:pPr>
      <w:r>
        <w:rPr/>
      </w:r>
    </w:p>
    <w:p>
      <w:pPr>
        <w:pStyle w:val="TextBody"/>
        <w:bidi w:val="0"/>
        <w:spacing w:before="0" w:after="120"/>
        <w:jc w:val="center"/>
        <w:rPr/>
      </w:pPr>
      <w:r>
        <w:rPr/>
      </w:r>
    </w:p>
    <w:p>
      <w:pPr>
        <w:pStyle w:val="TextBody"/>
        <w:bidi w:val="0"/>
        <w:spacing w:lineRule="auto" w:line="345" w:before="0" w:after="120"/>
        <w:jc w:val="center"/>
        <w:rPr>
          <w:rFonts w:ascii="Arial;sans-serif" w:hAnsi="Arial;sans-serif"/>
          <w:b/>
          <w:color w:val="000000"/>
          <w:sz w:val="26"/>
        </w:rPr>
      </w:pPr>
      <w:r>
        <w:rPr>
          <w:rFonts w:ascii="Arial;sans-serif" w:hAnsi="Arial;sans-serif"/>
          <w:b/>
          <w:color w:val="000000"/>
          <w:sz w:val="26"/>
        </w:rPr>
        <w:t>AB Announces April 30, 2026 Assets Under Management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Nashville, TN, May 11, 2026 - AllianceBernstein L.P. (“AB”) and AllianceBernstein Holding L.P. (“AB Holding”) (NYSE: AB) today announced that preliminary assets under management increased to $881 billion in April 2026, from $839 billion at the end of March. The 5% increase in AUM was driven by market appreciation, partially offset by net outflows in each channel. </w:t>
      </w:r>
    </w:p>
    <w:tbl>
      <w:tblPr>
        <w:tblW w:w="10205" w:type="dxa"/>
        <w:jc w:val="center"/>
        <w:tblInd w:w="0" w:type="dxa"/>
        <w:tblLayout w:type="fixed"/>
        <w:tblCellMar>
          <w:top w:w="28" w:type="dxa"/>
          <w:left w:w="28" w:type="dxa"/>
          <w:bottom w:w="28" w:type="dxa"/>
          <w:right w:w="28" w:type="dxa"/>
        </w:tblCellMar>
      </w:tblPr>
      <w:tblGrid>
        <w:gridCol w:w="1221"/>
        <w:gridCol w:w="1060"/>
        <w:gridCol w:w="1077"/>
        <w:gridCol w:w="128"/>
        <w:gridCol w:w="128"/>
        <w:gridCol w:w="128"/>
        <w:gridCol w:w="140"/>
        <w:gridCol w:w="140"/>
        <w:gridCol w:w="141"/>
        <w:gridCol w:w="128"/>
        <w:gridCol w:w="128"/>
        <w:gridCol w:w="132"/>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55"/>
      </w:tblGrid>
      <w:tr>
        <w:trPr/>
        <w:tc>
          <w:tcPr>
            <w:tcW w:w="122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AllianceBernstein L.P. (The Operating Partnership)</w:t>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Assets Under Management ($ in Billions)</w:t>
            </w:r>
          </w:p>
        </w:tc>
      </w:tr>
      <w:tr>
        <w:trPr/>
        <w:tc>
          <w:tcPr>
            <w:tcW w:w="10205" w:type="dxa"/>
            <w:gridSpan w:val="6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Mar 31,</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Private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Equity</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Actively Managed</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252</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80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Equity</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207</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327</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Fixed Income</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Taxable</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120</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Tax-Exempt</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66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Fixed Income</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138</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313</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color w:val="000000"/>
                <w:sz w:val="20"/>
              </w:rPr>
              <w:t>Alternatives/Multi-Asset Solutions</w:t>
            </w:r>
            <w:r>
              <w:rPr>
                <w:rFonts w:ascii="Arial;sans-serif" w:hAnsi="Arial;sans-serif"/>
                <w:b/>
                <w:color w:val="000000"/>
                <w:sz w:val="13"/>
              </w:rPr>
              <w:t>(1)</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162</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363</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355</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163</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839</w:t>
            </w:r>
          </w:p>
        </w:tc>
        <w:tc>
          <w:tcPr>
            <w:tcW w:w="37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348</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335</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156</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Includes certain multi-asset solutions and services not included in equity or fixed income services.</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p>
                  </w:txbxContent>
                </v:textbox>
                <w10:wrap type="none"/>
              </v:rect>
            </w:pict>
          </mc:Fallback>
        </mc:AlternateContent>
      </w:r>
    </w:p>
    <w:p>
      <w:pPr>
        <w:pStyle w:val="TextBody"/>
        <w:bidi w:val="0"/>
        <w:spacing w:lineRule="auto" w:line="345" w:before="0" w:after="100"/>
        <w:jc w:val="left"/>
        <w:rPr>
          <w:rFonts w:ascii="Arial;sans-serif" w:hAnsi="Arial;sans-serif"/>
          <w:b/>
          <w:color w:val="000000"/>
          <w:sz w:val="20"/>
        </w:rPr>
      </w:pPr>
      <w:r>
        <w:rPr>
          <w:rFonts w:ascii="Arial;sans-serif" w:hAnsi="Arial;sans-serif"/>
          <w:b/>
          <w:color w:val="000000"/>
          <w:sz w:val="20"/>
        </w:rPr>
        <w:t>Cautions Regarding Forward-Looking Statements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or form 10-Q for the quarter ended September 30, 2025. Any or all of the forward-looking statements made in this news release, Form 10-K, Form 10-Q, other documents AB files with or furnishes to the SEC and any other public statements issued by AB, may turn out to be wrong. It is important to remember that other factors besides those listed in “Risk Factors” and “Cautions Regarding Forward-Looking Statements”, and those listed above, could also adversely affect AB’s financial condition, results of operations and business prospects.</w: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About AllianceBernstein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AllianceBernstein is a leading global investment management firm that offers diversified investment services to institutional investors, individuals and private wealth clients in major world markets.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As of March 31, 2026, including both the general partnership and limited partnership interests in AllianceBernstein, AllianceBernstein Holding owned approximately 31.4% of AllianceBernstein. Including both the general partnership and limited partnership interest in AllianceBernstein Holding and AllianceBernstein, Equitable Holdings, Inc. ("EQH"), owned an approximate 68.0% economic interest in AllianceBernstein.</w:t>
      </w:r>
    </w:p>
    <w:p>
      <w:pPr>
        <w:pStyle w:val="TextBody"/>
        <w:bidi w:val="0"/>
        <w:spacing w:lineRule="auto" w:line="391" w:before="0" w:after="0"/>
        <w:jc w:val="left"/>
        <w:rPr/>
      </w:pPr>
      <w:r>
        <w:rPr>
          <w:rFonts w:ascii="Arial;sans-serif" w:hAnsi="Arial;sans-serif"/>
          <w:b w:val="false"/>
          <w:color w:val="000000"/>
          <w:sz w:val="20"/>
        </w:rPr>
        <w:t xml:space="preserve">Additional information about AB may be found on our website, </w:t>
      </w:r>
      <w:r>
        <w:rPr>
          <w:rFonts w:ascii="Arial;sans-serif" w:hAnsi="Arial;sans-serif"/>
          <w:b w:val="false"/>
          <w:color w:val="0000FF"/>
          <w:sz w:val="20"/>
          <w:u w:val="single"/>
        </w:rPr>
        <w:t>www.alliancebernstein.com</w:t>
      </w:r>
      <w:r>
        <w:rPr>
          <w:rFonts w:ascii="Arial;sans-serif" w:hAnsi="Arial;sans-serif"/>
          <w:b w:val="false"/>
          <w:color w:val="000000"/>
          <w:sz w:val="20"/>
        </w:rPr>
        <w:t>.</w:t>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977</Words>
  <Characters>5684</Characters>
  <CharactersWithSpaces>6564</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