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10, 2026</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ALLIANCEBERNSTEIN HOLDING L.P.</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180"/>
          </w:cols>
          <w:pgMar w:left="300" w:top="954" w:right="419" w:bottom="1440" w:gutter="0" w:footer="0" w:header="0"/>
        </w:sectPr>
      </w:pPr>
    </w:p>
    <w:p>
      <w:pPr>
        <w:spacing w:after="0" w:line="9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001-09818</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13-3434400</w:t>
      </w:r>
    </w:p>
    <w:p>
      <w:pPr>
        <w:spacing w:after="0" w:line="1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2"/>
          <w:szCs w:val="12"/>
          <w:color w:val="auto"/>
        </w:rPr>
        <w:t>(I.R.S. Employer Identification Number)</w:t>
      </w:r>
    </w:p>
    <w:p>
      <w:pPr>
        <w:spacing w:after="0" w:line="5" w:lineRule="exact"/>
        <w:rPr>
          <w:sz w:val="24"/>
          <w:szCs w:val="24"/>
          <w:color w:val="auto"/>
        </w:rPr>
      </w:pPr>
    </w:p>
    <w:p>
      <w:pPr>
        <w:sectPr>
          <w:pgSz w:w="11900" w:h="16838" w:orient="portrait"/>
          <w:cols w:equalWidth="0" w:num="3">
            <w:col w:w="4180" w:space="720"/>
            <w:col w:w="2580" w:space="720"/>
            <w:col w:w="2980"/>
          </w:cols>
          <w:pgMar w:left="300" w:top="954" w:right="41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501 Commerce Street, Nashville, TN 37203</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(Zip Code)</w:t>
      </w:r>
    </w:p>
    <w:p>
      <w:pPr>
        <w:spacing w:after="0" w:line="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(615) 622-0000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ectPr>
          <w:pgSz w:w="11900" w:h="16838" w:orient="portrait"/>
          <w:cols w:equalWidth="0" w:num="1">
            <w:col w:w="11180"/>
          </w:cols>
          <w:pgMar w:left="300" w:top="954" w:right="419" w:bottom="1440" w:gutter="0" w:footer="0" w:header="0"/>
          <w:type w:val="continuous"/>
        </w:sect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obligations of the registrant under any of the following provisions:</w:t>
      </w:r>
    </w:p>
    <w:p>
      <w:pPr>
        <w:spacing w:after="0" w:line="371" w:lineRule="exact"/>
        <w:rPr>
          <w:sz w:val="24"/>
          <w:szCs w:val="2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67"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4"/>
          <w:szCs w:val="24"/>
          <w:color w:val="auto"/>
        </w:rPr>
      </w:pPr>
    </w:p>
    <w:p>
      <w:pPr>
        <w:spacing w:after="0" w:line="161" w:lineRule="exact"/>
        <w:tabs>
          <w:tab w:leader="none" w:pos="16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15" w:lineRule="exact"/>
        <w:rPr>
          <w:sz w:val="24"/>
          <w:szCs w:val="24"/>
          <w:color w:val="auto"/>
        </w:rPr>
      </w:pPr>
    </w:p>
    <w:p>
      <w:pPr>
        <w:ind w:right="10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857250</wp:posOffset>
            </wp:positionV>
            <wp:extent cx="719201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180"/>
          </w:cols>
          <w:pgMar w:left="300" w:top="954"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9"/>
        </w:trPr>
        <w:tc>
          <w:tcPr>
            <w:tcW w:w="1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6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7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w:t>
            </w:r>
          </w:p>
        </w:tc>
        <w:tc>
          <w:tcPr>
            <w:tcW w:w="146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142"/>
        </w:trPr>
        <w:tc>
          <w:tcPr>
            <w:tcW w:w="4960" w:type="dxa"/>
            <w:vAlign w:val="bottom"/>
            <w:gridSpan w:val="3"/>
          </w:tcPr>
          <w:p>
            <w:pPr>
              <w:jc w:val="center"/>
              <w:ind w:right="292"/>
              <w:spacing w:after="0" w:line="143" w:lineRule="exact"/>
              <w:rPr>
                <w:sz w:val="20"/>
                <w:szCs w:val="20"/>
                <w:color w:val="auto"/>
              </w:rPr>
            </w:pPr>
            <w:r>
              <w:rPr>
                <w:rFonts w:ascii="Times New Roman" w:cs="Times New Roman" w:eastAsia="Times New Roman" w:hAnsi="Times New Roman"/>
                <w:sz w:val="14"/>
                <w:szCs w:val="14"/>
                <w:color w:val="auto"/>
                <w:w w:val="96"/>
              </w:rPr>
              <w:t>Units rep. assignments of beneficial ownership of limited partnership interests in AB</w:t>
            </w:r>
          </w:p>
        </w:tc>
        <w:tc>
          <w:tcPr>
            <w:tcW w:w="340" w:type="dxa"/>
            <w:vAlign w:val="bottom"/>
          </w:tcPr>
          <w:p>
            <w:pPr>
              <w:spacing w:after="0"/>
              <w:rPr>
                <w:sz w:val="12"/>
                <w:szCs w:val="12"/>
                <w:color w:val="auto"/>
              </w:rPr>
            </w:pPr>
          </w:p>
        </w:tc>
        <w:tc>
          <w:tcPr>
            <w:tcW w:w="2400" w:type="dxa"/>
            <w:vAlign w:val="bottom"/>
            <w:gridSpan w:val="2"/>
            <w:vMerge w:val="restart"/>
          </w:tcPr>
          <w:p>
            <w:pPr>
              <w:jc w:val="center"/>
              <w:ind w:right="1460"/>
              <w:spacing w:after="0"/>
              <w:rPr>
                <w:sz w:val="20"/>
                <w:szCs w:val="20"/>
                <w:color w:val="auto"/>
              </w:rPr>
            </w:pPr>
            <w:r>
              <w:rPr>
                <w:rFonts w:ascii="Times New Roman" w:cs="Times New Roman" w:eastAsia="Times New Roman" w:hAnsi="Times New Roman"/>
                <w:sz w:val="14"/>
                <w:szCs w:val="14"/>
                <w:color w:val="auto"/>
                <w:w w:val="92"/>
              </w:rPr>
              <w:t>AB</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NYSE</w:t>
            </w:r>
          </w:p>
        </w:tc>
        <w:tc>
          <w:tcPr>
            <w:tcW w:w="0" w:type="dxa"/>
            <w:vAlign w:val="bottom"/>
          </w:tcPr>
          <w:p>
            <w:pPr>
              <w:spacing w:after="0"/>
              <w:rPr>
                <w:sz w:val="1"/>
                <w:szCs w:val="1"/>
                <w:color w:val="auto"/>
              </w:rPr>
            </w:pPr>
          </w:p>
        </w:tc>
      </w:tr>
      <w:tr>
        <w:trPr>
          <w:trHeight w:val="111"/>
        </w:trPr>
        <w:tc>
          <w:tcPr>
            <w:tcW w:w="176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Holding</w:t>
            </w:r>
          </w:p>
        </w:tc>
        <w:tc>
          <w:tcPr>
            <w:tcW w:w="2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7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5567045</wp:posOffset>
            </wp:positionV>
            <wp:extent cx="719201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0320"/>
          </w:cols>
          <w:pgMar w:left="400" w:top="701" w:right="1179" w:bottom="1440" w:gutter="0" w:footer="0" w:header="0"/>
        </w:sectPr>
      </w:pPr>
    </w:p>
    <w:bookmarkStart w:id="2" w:name="page3"/>
    <w:bookmarkEnd w:id="2"/>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u w:val="single" w:color="auto"/>
          <w:color w:val="auto"/>
        </w:rPr>
        <w:t>Regulation FD Disclosure.</w:t>
      </w:r>
    </w:p>
    <w:p>
      <w:pPr>
        <w:spacing w:after="0" w:line="194" w:lineRule="exact"/>
        <w:rPr>
          <w:sz w:val="20"/>
          <w:szCs w:val="20"/>
          <w:color w:val="auto"/>
        </w:rPr>
      </w:pPr>
    </w:p>
    <w:p>
      <w:pPr>
        <w:ind w:left="980"/>
        <w:spacing w:after="0" w:line="286" w:lineRule="auto"/>
        <w:rPr>
          <w:sz w:val="20"/>
          <w:szCs w:val="20"/>
          <w:color w:val="auto"/>
        </w:rPr>
      </w:pPr>
      <w:r>
        <w:rPr>
          <w:rFonts w:ascii="Times New Roman" w:cs="Times New Roman" w:eastAsia="Times New Roman" w:hAnsi="Times New Roman"/>
          <w:sz w:val="16"/>
          <w:szCs w:val="16"/>
          <w:color w:val="auto"/>
        </w:rPr>
        <w:t>AllianceBernstein L.P. (“</w:t>
      </w:r>
      <w:r>
        <w:rPr>
          <w:rFonts w:ascii="Times New Roman" w:cs="Times New Roman" w:eastAsia="Times New Roman" w:hAnsi="Times New Roman"/>
          <w:sz w:val="16"/>
          <w:szCs w:val="16"/>
          <w:u w:val="single" w:color="auto"/>
          <w:color w:val="auto"/>
        </w:rPr>
        <w:t>AB</w:t>
      </w:r>
      <w:r>
        <w:rPr>
          <w:rFonts w:ascii="Times New Roman" w:cs="Times New Roman" w:eastAsia="Times New Roman" w:hAnsi="Times New Roman"/>
          <w:sz w:val="16"/>
          <w:szCs w:val="16"/>
          <w:color w:val="auto"/>
        </w:rPr>
        <w:t>”) and AllianceBernstein Holding L.P. are furnishing a news release (“</w:t>
      </w:r>
      <w:r>
        <w:rPr>
          <w:rFonts w:ascii="Times New Roman" w:cs="Times New Roman" w:eastAsia="Times New Roman" w:hAnsi="Times New Roman"/>
          <w:sz w:val="16"/>
          <w:szCs w:val="16"/>
          <w:u w:val="single" w:color="auto"/>
          <w:color w:val="auto"/>
        </w:rPr>
        <w:t>AUM Release</w:t>
      </w:r>
      <w:r>
        <w:rPr>
          <w:rFonts w:ascii="Times New Roman" w:cs="Times New Roman" w:eastAsia="Times New Roman" w:hAnsi="Times New Roman"/>
          <w:sz w:val="16"/>
          <w:szCs w:val="16"/>
          <w:color w:val="auto"/>
        </w:rPr>
        <w:t>”) issued on June 10, 2026 announcing AB’s preliminary assets under management as of May 31, 2026. The AUM Release is attached hereto as Exhibit 99.01.</w:t>
      </w:r>
    </w:p>
    <w:p>
      <w:pPr>
        <w:spacing w:after="0" w:line="200" w:lineRule="exact"/>
        <w:rPr>
          <w:sz w:val="20"/>
          <w:szCs w:val="20"/>
          <w:color w:val="auto"/>
        </w:rPr>
      </w:pPr>
    </w:p>
    <w:p>
      <w:pPr>
        <w:spacing w:after="0" w:line="29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Exhibits.</w:t>
      </w:r>
    </w:p>
    <w:p>
      <w:pPr>
        <w:spacing w:after="0" w:line="193" w:lineRule="exact"/>
        <w:rPr>
          <w:sz w:val="20"/>
          <w:szCs w:val="20"/>
          <w:color w:val="auto"/>
        </w:rPr>
      </w:pPr>
    </w:p>
    <w:p>
      <w:pPr>
        <w:ind w:left="1320" w:hanging="345"/>
        <w:spacing w:after="0"/>
        <w:tabs>
          <w:tab w:leader="none" w:pos="13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12" w:lineRule="exact"/>
        <w:rPr>
          <w:sz w:val="20"/>
          <w:szCs w:val="20"/>
          <w:color w:val="auto"/>
        </w:rPr>
      </w:pPr>
    </w:p>
    <w:p>
      <w:pPr>
        <w:ind w:left="1500"/>
        <w:spacing w:after="0"/>
        <w:tabs>
          <w:tab w:leader="none" w:pos="2000" w:val="left"/>
        </w:tabs>
        <w:rPr>
          <w:sz w:val="20"/>
          <w:szCs w:val="20"/>
          <w:color w:val="auto"/>
        </w:rPr>
      </w:pPr>
      <w:r>
        <w:rPr>
          <w:rFonts w:ascii="Times New Roman" w:cs="Times New Roman" w:eastAsia="Times New Roman" w:hAnsi="Times New Roman"/>
          <w:sz w:val="16"/>
          <w:szCs w:val="16"/>
          <w:color w:val="auto"/>
        </w:rPr>
        <w:t>99.01</w:t>
      </w:r>
      <w:r>
        <w:rPr>
          <w:sz w:val="20"/>
          <w:szCs w:val="20"/>
          <w:color w:val="auto"/>
        </w:rPr>
        <w:tab/>
      </w:r>
      <w:r>
        <w:rPr>
          <w:rFonts w:ascii="Times New Roman" w:cs="Times New Roman" w:eastAsia="Times New Roman" w:hAnsi="Times New Roman"/>
          <w:sz w:val="16"/>
          <w:szCs w:val="16"/>
          <w:u w:val="single" w:color="auto"/>
          <w:color w:val="0000FF"/>
        </w:rPr>
        <w:t>AUM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1584960</wp:posOffset>
            </wp:positionV>
            <wp:extent cx="719201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07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6"/>
          <w:szCs w:val="16"/>
          <w:color w:val="auto"/>
        </w:rPr>
        <w:t>LLIANCEBERNSTEIN HOLDING L.P.</w:t>
      </w:r>
    </w:p>
    <w:p>
      <w:pPr>
        <w:spacing w:after="0" w:line="26" w:lineRule="exact"/>
        <w:rPr>
          <w:sz w:val="20"/>
          <w:szCs w:val="20"/>
          <w:color w:val="auto"/>
        </w:rPr>
      </w:pPr>
    </w:p>
    <w:p>
      <w:pPr>
        <w:ind w:left="2940"/>
        <w:spacing w:after="0"/>
        <w:tabs>
          <w:tab w:leader="none" w:pos="7960" w:val="left"/>
          <w:tab w:leader="none" w:pos="8620" w:val="left"/>
        </w:tabs>
        <w:rPr>
          <w:sz w:val="20"/>
          <w:szCs w:val="20"/>
          <w:color w:val="auto"/>
        </w:rPr>
      </w:pPr>
      <w:r>
        <w:rPr>
          <w:rFonts w:ascii="Times New Roman" w:cs="Times New Roman" w:eastAsia="Times New Roman" w:hAnsi="Times New Roman"/>
          <w:sz w:val="16"/>
          <w:szCs w:val="16"/>
          <w:color w:val="auto"/>
        </w:rPr>
        <w:t>Dated: June 10,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6"/>
          <w:szCs w:val="16"/>
          <w:color w:val="auto"/>
        </w:rPr>
        <w:t>/s/ Mark Manley</w:t>
      </w:r>
    </w:p>
    <w:p>
      <w:pPr>
        <w:spacing w:after="0" w:line="2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color w:val="auto"/>
        </w:rPr>
        <w:t>Mark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-113665</wp:posOffset>
            </wp:positionV>
            <wp:extent cx="17411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6350"/>
                    </a:xfrm>
                    <a:prstGeom prst="rect">
                      <a:avLst/>
                    </a:prstGeom>
                    <a:noFill/>
                  </pic:spPr>
                </pic:pic>
              </a:graphicData>
            </a:graphic>
          </wp:anchor>
        </w:drawing>
      </w:r>
    </w:p>
    <w:p>
      <w:pPr>
        <w:ind w:left="8640"/>
        <w:spacing w:after="0"/>
        <w:rPr>
          <w:sz w:val="20"/>
          <w:szCs w:val="20"/>
          <w:color w:val="auto"/>
        </w:rPr>
      </w:pPr>
      <w:r>
        <w:rPr>
          <w:rFonts w:ascii="Times New Roman" w:cs="Times New Roman" w:eastAsia="Times New Roman" w:hAnsi="Times New Roman"/>
          <w:sz w:val="16"/>
          <w:szCs w:val="16"/>
          <w:color w:val="auto"/>
        </w:rPr>
        <w:t>Corporate Secretary</w:t>
      </w:r>
    </w:p>
    <w:p>
      <w:pPr>
        <w:sectPr>
          <w:pgSz w:w="11900" w:h="16838" w:orient="portrait"/>
          <w:cols w:equalWidth="0" w:num="1">
            <w:col w:w="11280"/>
          </w:cols>
          <w:pgMar w:left="300" w:top="706" w:right="319" w:bottom="1440" w:gutter="0" w:footer="0" w:header="0"/>
        </w:sectPr>
      </w:pPr>
    </w:p>
    <w:bookmarkStart w:id="4" w:name="page5"/>
    <w:bookmarkEnd w:id="4"/>
    <w:p>
      <w:pPr>
        <w:ind w:left="37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197485</wp:posOffset>
            </wp:positionH>
            <wp:positionV relativeFrom="page">
              <wp:posOffset>101600</wp:posOffset>
            </wp:positionV>
            <wp:extent cx="425450" cy="425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25450" cy="425450"/>
                    </a:xfrm>
                    <a:prstGeom prst="rect">
                      <a:avLst/>
                    </a:prstGeom>
                    <a:noFill/>
                  </pic:spPr>
                </pic:pic>
              </a:graphicData>
            </a:graphic>
          </wp:anchor>
        </w:drawing>
        <w:t>Ioanis Jorgali, Investors</w:t>
      </w:r>
    </w:p>
    <w:p>
      <w:pPr>
        <w:spacing w:after="0" w:line="20" w:lineRule="exact"/>
        <w:rPr>
          <w:sz w:val="20"/>
          <w:szCs w:val="20"/>
          <w:color w:val="auto"/>
        </w:rPr>
      </w:pPr>
      <w:r>
        <w:rPr>
          <w:sz w:val="20"/>
          <w:szCs w:val="20"/>
          <w:color w:val="auto"/>
        </w:rPr>
        <w:br w:type="column"/>
      </w:r>
    </w:p>
    <w:p>
      <w:pPr>
        <w:jc w:val="center"/>
        <w:ind w:right="2360"/>
        <w:spacing w:after="0"/>
        <w:rPr>
          <w:sz w:val="20"/>
          <w:szCs w:val="20"/>
          <w:color w:val="auto"/>
        </w:rPr>
      </w:pPr>
      <w:r>
        <w:rPr>
          <w:rFonts w:ascii="Arial" w:cs="Arial" w:eastAsia="Arial" w:hAnsi="Arial"/>
          <w:sz w:val="12"/>
          <w:szCs w:val="12"/>
          <w:b w:val="1"/>
          <w:bCs w:val="1"/>
          <w:color w:val="auto"/>
        </w:rPr>
        <w:t>Carly Symington, Media</w:t>
      </w:r>
    </w:p>
    <w:p>
      <w:pPr>
        <w:spacing w:after="0" w:line="55" w:lineRule="exact"/>
        <w:rPr>
          <w:sz w:val="20"/>
          <w:szCs w:val="20"/>
          <w:color w:val="auto"/>
        </w:rPr>
      </w:pPr>
    </w:p>
    <w:p>
      <w:pPr>
        <w:sectPr>
          <w:pgSz w:w="11900" w:h="16838" w:orient="portrait"/>
          <w:cols w:equalWidth="0" w:num="2">
            <w:col w:w="6820" w:space="720"/>
            <w:col w:w="3740"/>
          </w:cols>
          <w:pgMar w:left="300" w:top="332" w:right="319" w:bottom="1440" w:gutter="0" w:footer="0" w:header="0"/>
        </w:sectPr>
      </w:pPr>
    </w:p>
    <w:p>
      <w:pPr>
        <w:jc w:val="center"/>
        <w:ind w:left="1460"/>
        <w:spacing w:after="0"/>
        <w:rPr>
          <w:sz w:val="20"/>
          <w:szCs w:val="20"/>
          <w:color w:val="auto"/>
        </w:rPr>
      </w:pPr>
      <w:r>
        <w:rPr>
          <w:rFonts w:ascii="Arial" w:cs="Arial" w:eastAsia="Arial" w:hAnsi="Arial"/>
          <w:sz w:val="12"/>
          <w:szCs w:val="12"/>
          <w:color w:val="auto"/>
        </w:rPr>
        <w:t>629.213.6139</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Arial" w:cs="Arial" w:eastAsia="Arial" w:hAnsi="Arial"/>
          <w:sz w:val="12"/>
          <w:szCs w:val="12"/>
          <w:color w:val="auto"/>
        </w:rPr>
        <w:t>629.213.5568</w:t>
      </w:r>
    </w:p>
    <w:p>
      <w:pPr>
        <w:spacing w:after="0" w:line="65" w:lineRule="exact"/>
        <w:rPr>
          <w:sz w:val="20"/>
          <w:szCs w:val="20"/>
          <w:color w:val="auto"/>
        </w:rPr>
      </w:pPr>
    </w:p>
    <w:p>
      <w:pPr>
        <w:sectPr>
          <w:pgSz w:w="11900" w:h="16838" w:orient="portrait"/>
          <w:cols w:equalWidth="0" w:num="2">
            <w:col w:w="6820" w:space="720"/>
            <w:col w:w="3740"/>
          </w:cols>
          <w:pgMar w:left="300" w:top="332" w:right="319" w:bottom="1440" w:gutter="0" w:footer="0" w:header="0"/>
          <w:type w:val="continuous"/>
        </w:sectPr>
      </w:pPr>
    </w:p>
    <w:p>
      <w:pPr>
        <w:ind w:left="3760"/>
        <w:spacing w:after="0"/>
        <w:rPr>
          <w:sz w:val="20"/>
          <w:szCs w:val="20"/>
          <w:color w:val="auto"/>
        </w:rPr>
      </w:pPr>
      <w:r>
        <w:rPr>
          <w:rFonts w:ascii="Arial" w:cs="Arial" w:eastAsia="Arial" w:hAnsi="Arial"/>
          <w:sz w:val="12"/>
          <w:szCs w:val="12"/>
          <w:color w:val="auto"/>
        </w:rPr>
        <w:t>ioanis.jorgali@alliancebernstein.com</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Arial" w:cs="Arial" w:eastAsia="Arial" w:hAnsi="Arial"/>
          <w:sz w:val="12"/>
          <w:szCs w:val="12"/>
          <w:color w:val="auto"/>
        </w:rPr>
        <w:t>carly.symington@alliancebernstein.com</w:t>
      </w:r>
    </w:p>
    <w:p>
      <w:pPr>
        <w:spacing w:after="0" w:line="200" w:lineRule="exact"/>
        <w:rPr>
          <w:sz w:val="20"/>
          <w:szCs w:val="20"/>
          <w:color w:val="auto"/>
        </w:rPr>
      </w:pPr>
    </w:p>
    <w:p>
      <w:pPr>
        <w:sectPr>
          <w:pgSz w:w="11900" w:h="16838" w:orient="portrait"/>
          <w:cols w:equalWidth="0" w:num="2">
            <w:col w:w="6820" w:space="720"/>
            <w:col w:w="3740"/>
          </w:cols>
          <w:pgMar w:left="300" w:top="33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 Announces May 31, 2026 Assets Under Management</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Nashville, TN, June 10, 2026 - AllianceBernstein L.P. (“AB”) and AllianceBernstein Holding L.P. (“AB Holding”) (NYSE: AB) today announced that preliminary assets under management increased to $ 899 billion in May 2026, up from $882 billion at the end of April. The 2% increase in month -end AUM was driven by market appreciation, partially offset by net outflows. May outflows were concentrated in Retail, while Institutions saw modest inflows and Private Wealth flows were roughly flat.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AllianceBernstein L.P. (The Operating Partnership)</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 Under Management ($ in Billions)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At May 31, 2026</w:t>
            </w: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Apr 30,</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Private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Institutions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Retail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Wealth</w:t>
            </w:r>
          </w:p>
        </w:tc>
        <w:tc>
          <w:tcPr>
            <w:tcW w:w="340" w:type="dxa"/>
            <w:vAlign w:val="bottom"/>
          </w:tcPr>
          <w:p>
            <w:pPr>
              <w:spacing w:after="0"/>
              <w:rPr>
                <w:sz w:val="17"/>
                <w:szCs w:val="17"/>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3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31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4"/>
                <w:szCs w:val="14"/>
                <w:color w:val="auto"/>
              </w:rPr>
              <w:t>Actively Managed</w:t>
            </w:r>
          </w:p>
        </w:tc>
        <w:tc>
          <w:tcPr>
            <w:tcW w:w="1160" w:type="dxa"/>
            <w:vAlign w:val="bottom"/>
          </w:tcPr>
          <w:p>
            <w:pPr>
              <w:jc w:val="right"/>
              <w:ind w:right="9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51</w:t>
            </w:r>
          </w:p>
        </w:tc>
        <w:tc>
          <w:tcPr>
            <w:tcW w:w="160" w:type="dxa"/>
            <w:vAlign w:val="bottom"/>
          </w:tcPr>
          <w:p>
            <w:pPr>
              <w:spacing w:after="0"/>
              <w:rPr>
                <w:sz w:val="19"/>
                <w:szCs w:val="19"/>
                <w:color w:val="auto"/>
              </w:rPr>
            </w:pPr>
          </w:p>
        </w:tc>
        <w:tc>
          <w:tcPr>
            <w:tcW w:w="1000" w:type="dxa"/>
            <w:vAlign w:val="bottom"/>
          </w:tcPr>
          <w:p>
            <w:pPr>
              <w:jc w:val="right"/>
              <w:ind w:right="83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169</w:t>
            </w:r>
          </w:p>
        </w:tc>
        <w:tc>
          <w:tcPr>
            <w:tcW w:w="140" w:type="dxa"/>
            <w:vAlign w:val="bottom"/>
          </w:tcPr>
          <w:p>
            <w:pPr>
              <w:spacing w:after="0"/>
              <w:rPr>
                <w:sz w:val="19"/>
                <w:szCs w:val="19"/>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64</w:t>
            </w:r>
          </w:p>
        </w:tc>
        <w:tc>
          <w:tcPr>
            <w:tcW w:w="160" w:type="dxa"/>
            <w:vAlign w:val="bottom"/>
          </w:tcPr>
          <w:p>
            <w:pPr>
              <w:spacing w:after="0"/>
              <w:rPr>
                <w:sz w:val="19"/>
                <w:szCs w:val="19"/>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284</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278</w:t>
            </w:r>
          </w:p>
        </w:tc>
        <w:tc>
          <w:tcPr>
            <w:tcW w:w="0" w:type="dxa"/>
            <w:vAlign w:val="bottom"/>
          </w:tcPr>
          <w:p>
            <w:pPr>
              <w:spacing w:after="0"/>
              <w:rPr>
                <w:sz w:val="1"/>
                <w:szCs w:val="1"/>
                <w:color w:val="auto"/>
              </w:rPr>
            </w:pPr>
          </w:p>
        </w:tc>
      </w:tr>
      <w:tr>
        <w:trPr>
          <w:trHeight w:val="205"/>
        </w:trPr>
        <w:tc>
          <w:tcPr>
            <w:tcW w:w="3120" w:type="dxa"/>
            <w:vAlign w:val="bottom"/>
          </w:tcPr>
          <w:p>
            <w:pPr>
              <w:ind w:left="40"/>
              <w:spacing w:after="0"/>
              <w:rPr>
                <w:sz w:val="20"/>
                <w:szCs w:val="20"/>
                <w:color w:val="auto"/>
              </w:rPr>
            </w:pPr>
            <w:r>
              <w:rPr>
                <w:rFonts w:ascii="Arial" w:cs="Arial" w:eastAsia="Arial" w:hAnsi="Arial"/>
                <w:sz w:val="14"/>
                <w:szCs w:val="14"/>
                <w:color w:val="auto"/>
              </w:rPr>
              <w:t>Passive</w:t>
            </w: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44</w:t>
            </w: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86</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83"/>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Total Equity</w:t>
            </w:r>
          </w:p>
        </w:tc>
        <w:tc>
          <w:tcPr>
            <w:tcW w:w="1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82</w:t>
            </w: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213</w:t>
            </w: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75</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370</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360</w:t>
            </w:r>
          </w:p>
        </w:tc>
        <w:tc>
          <w:tcPr>
            <w:tcW w:w="0" w:type="dxa"/>
            <w:vAlign w:val="bottom"/>
          </w:tcPr>
          <w:p>
            <w:pPr>
              <w:spacing w:after="0"/>
              <w:rPr>
                <w:sz w:val="1"/>
                <w:szCs w:val="1"/>
                <w:color w:val="auto"/>
              </w:rPr>
            </w:pPr>
          </w:p>
        </w:tc>
      </w:tr>
      <w:tr>
        <w:trPr>
          <w:trHeight w:val="324"/>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Fixed Income</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4"/>
                <w:szCs w:val="14"/>
                <w:color w:val="auto"/>
              </w:rPr>
              <w:t>Taxable</w:t>
            </w:r>
          </w:p>
        </w:tc>
        <w:tc>
          <w:tcPr>
            <w:tcW w:w="1160" w:type="dxa"/>
            <w:vAlign w:val="bottom"/>
          </w:tcPr>
          <w:p>
            <w:pPr>
              <w:spacing w:after="0"/>
              <w:rPr>
                <w:sz w:val="19"/>
                <w:szCs w:val="19"/>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120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67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209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203"/>
        </w:trPr>
        <w:tc>
          <w:tcPr>
            <w:tcW w:w="3120" w:type="dxa"/>
            <w:vAlign w:val="bottom"/>
          </w:tcPr>
          <w:p>
            <w:pPr>
              <w:ind w:left="40"/>
              <w:spacing w:after="0"/>
              <w:rPr>
                <w:sz w:val="20"/>
                <w:szCs w:val="20"/>
                <w:color w:val="auto"/>
              </w:rPr>
            </w:pPr>
            <w:r>
              <w:rPr>
                <w:rFonts w:ascii="Arial" w:cs="Arial" w:eastAsia="Arial" w:hAnsi="Arial"/>
                <w:sz w:val="14"/>
                <w:szCs w:val="14"/>
                <w:color w:val="auto"/>
              </w:rPr>
              <w:t>Tax-Exempt</w:t>
            </w:r>
          </w:p>
        </w:tc>
        <w:tc>
          <w:tcPr>
            <w:tcW w:w="1160" w:type="dxa"/>
            <w:vAlign w:val="bottom"/>
          </w:tcPr>
          <w:p>
            <w:pPr>
              <w:spacing w:after="0"/>
              <w:rPr>
                <w:sz w:val="17"/>
                <w:szCs w:val="17"/>
                <w:color w:val="auto"/>
              </w:rPr>
            </w:pP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63</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33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97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205"/>
        </w:trPr>
        <w:tc>
          <w:tcPr>
            <w:tcW w:w="3120" w:type="dxa"/>
            <w:vAlign w:val="bottom"/>
          </w:tcPr>
          <w:p>
            <w:pPr>
              <w:ind w:left="40"/>
              <w:spacing w:after="0"/>
              <w:rPr>
                <w:sz w:val="20"/>
                <w:szCs w:val="20"/>
                <w:color w:val="auto"/>
              </w:rPr>
            </w:pPr>
            <w:r>
              <w:rPr>
                <w:rFonts w:ascii="Arial" w:cs="Arial" w:eastAsia="Arial" w:hAnsi="Arial"/>
                <w:sz w:val="14"/>
                <w:szCs w:val="14"/>
                <w:color w:val="auto"/>
              </w:rPr>
              <w:t>Passive</w:t>
            </w:r>
          </w:p>
        </w:tc>
        <w:tc>
          <w:tcPr>
            <w:tcW w:w="116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7"/>
                <w:szCs w:val="17"/>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ind w:left="7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83"/>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Total Fixed Income</w:t>
            </w:r>
          </w:p>
        </w:tc>
        <w:tc>
          <w:tcPr>
            <w:tcW w:w="116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121</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139</w:t>
            </w:r>
          </w:p>
        </w:tc>
        <w:tc>
          <w:tcPr>
            <w:tcW w:w="14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55</w:t>
            </w:r>
          </w:p>
        </w:tc>
        <w:tc>
          <w:tcPr>
            <w:tcW w:w="16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315</w:t>
            </w:r>
          </w:p>
        </w:tc>
        <w:tc>
          <w:tcPr>
            <w:tcW w:w="3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345"/>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Alternatives/Multi-Asset Solutions</w:t>
            </w:r>
            <w:r>
              <w:rPr>
                <w:rFonts w:ascii="Arial" w:cs="Arial" w:eastAsia="Arial" w:hAnsi="Arial"/>
                <w:sz w:val="17"/>
                <w:szCs w:val="17"/>
                <w:b w:val="1"/>
                <w:bCs w:val="1"/>
                <w:color w:val="auto"/>
                <w:vertAlign w:val="superscript"/>
              </w:rPr>
              <w:t>(1)</w:t>
            </w: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167</w:t>
            </w:r>
          </w:p>
        </w:tc>
        <w:tc>
          <w:tcPr>
            <w:tcW w:w="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214</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193"/>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jc w:val="right"/>
              <w:ind w:right="9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32"/>
              <w:spacing w:after="0"/>
              <w:rPr>
                <w:sz w:val="20"/>
                <w:szCs w:val="20"/>
                <w:color w:val="auto"/>
              </w:rPr>
            </w:pPr>
            <w:r>
              <w:rPr>
                <w:rFonts w:ascii="Arial" w:cs="Arial" w:eastAsia="Arial" w:hAnsi="Arial"/>
                <w:sz w:val="14"/>
                <w:szCs w:val="14"/>
                <w:b w:val="1"/>
                <w:bCs w:val="1"/>
                <w:color w:val="auto"/>
              </w:rPr>
              <w:t>370</w:t>
            </w:r>
          </w:p>
        </w:tc>
        <w:tc>
          <w:tcPr>
            <w:tcW w:w="160" w:type="dxa"/>
            <w:vAlign w:val="bottom"/>
          </w:tcPr>
          <w:p>
            <w:pPr>
              <w:spacing w:after="0"/>
              <w:rPr>
                <w:sz w:val="16"/>
                <w:szCs w:val="16"/>
                <w:color w:val="auto"/>
              </w:rPr>
            </w:pPr>
          </w:p>
        </w:tc>
        <w:tc>
          <w:tcPr>
            <w:tcW w:w="1000" w:type="dxa"/>
            <w:vAlign w:val="bottom"/>
          </w:tcPr>
          <w:p>
            <w:pPr>
              <w:jc w:val="right"/>
              <w:ind w:right="83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362</w:t>
            </w:r>
          </w:p>
        </w:tc>
        <w:tc>
          <w:tcPr>
            <w:tcW w:w="140" w:type="dxa"/>
            <w:vAlign w:val="bottom"/>
          </w:tcPr>
          <w:p>
            <w:pPr>
              <w:spacing w:after="0"/>
              <w:rPr>
                <w:sz w:val="16"/>
                <w:szCs w:val="16"/>
                <w:color w:val="auto"/>
              </w:rPr>
            </w:pPr>
          </w:p>
        </w:tc>
        <w:tc>
          <w:tcPr>
            <w:tcW w:w="50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167</w:t>
            </w:r>
          </w:p>
        </w:tc>
        <w:tc>
          <w:tcPr>
            <w:tcW w:w="160" w:type="dxa"/>
            <w:vAlign w:val="bottom"/>
          </w:tcPr>
          <w:p>
            <w:pPr>
              <w:spacing w:after="0"/>
              <w:rPr>
                <w:sz w:val="16"/>
                <w:szCs w:val="16"/>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899</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882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At April 30, 2026</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16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363</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356</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163</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882</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80" w:hanging="135"/>
        <w:spacing w:after="0"/>
        <w:tabs>
          <w:tab w:leader="none" w:pos="180" w:val="left"/>
        </w:tabs>
        <w:numPr>
          <w:ilvl w:val="0"/>
          <w:numId w:val="3"/>
        </w:numPr>
        <w:rPr>
          <w:rFonts w:ascii="Arial" w:cs="Arial" w:eastAsia="Arial" w:hAnsi="Arial"/>
          <w:sz w:val="16"/>
          <w:szCs w:val="16"/>
          <w:color w:val="auto"/>
          <w:vertAlign w:val="superscript"/>
        </w:rPr>
      </w:pPr>
      <w:r>
        <w:rPr>
          <w:rFonts w:ascii="Arial" w:cs="Arial" w:eastAsia="Arial" w:hAnsi="Arial"/>
          <w:sz w:val="11"/>
          <w:szCs w:val="11"/>
          <w:color w:val="auto"/>
        </w:rPr>
        <w:t>Includes certain multi-asset solutions and services not included in equity or fixed income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400" w:val="left"/>
        </w:tabs>
        <w:rPr>
          <w:sz w:val="20"/>
          <w:szCs w:val="20"/>
          <w:color w:val="auto"/>
        </w:rPr>
      </w:pPr>
      <w:r>
        <w:rPr>
          <w:rFonts w:ascii="Arial" w:cs="Arial" w:eastAsia="Arial" w:hAnsi="Arial"/>
          <w:sz w:val="11"/>
          <w:szCs w:val="11"/>
          <w:color w:val="auto"/>
        </w:rPr>
        <w:t>www.alliancebernstein.com</w:t>
        <w:tab/>
        <w:t>1 of 2</w:t>
      </w:r>
    </w:p>
    <w:p>
      <w:pPr>
        <w:sectPr>
          <w:pgSz w:w="11900" w:h="16838" w:orient="portrait"/>
          <w:cols w:equalWidth="0" w:num="1">
            <w:col w:w="11280"/>
          </w:cols>
          <w:pgMar w:left="300" w:top="332" w:right="319" w:bottom="1440" w:gutter="0" w:footer="0" w:header="0"/>
          <w:type w:val="continuous"/>
        </w:sectPr>
      </w:pPr>
    </w:p>
    <w:bookmarkStart w:id="5" w:name="page6"/>
    <w:bookmarkEnd w:id="5"/>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Cautions Regarding Forward-Looking Statements</w:t>
      </w:r>
    </w:p>
    <w:p>
      <w:pPr>
        <w:spacing w:after="0" w:line="95" w:lineRule="exact"/>
        <w:rPr>
          <w:sz w:val="20"/>
          <w:szCs w:val="20"/>
          <w:color w:val="auto"/>
        </w:rPr>
      </w:pPr>
    </w:p>
    <w:p>
      <w:pPr>
        <w:jc w:val="both"/>
        <w:spacing w:after="0" w:line="325" w:lineRule="auto"/>
        <w:rPr>
          <w:sz w:val="20"/>
          <w:szCs w:val="20"/>
          <w:color w:val="auto"/>
        </w:rPr>
      </w:pPr>
      <w:r>
        <w:rPr>
          <w:rFonts w:ascii="Arial" w:cs="Arial" w:eastAsia="Arial" w:hAnsi="Arial"/>
          <w:sz w:val="12"/>
          <w:szCs w:val="12"/>
          <w:color w:val="auto"/>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March 31,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AllianceBernstein</w:t>
      </w:r>
    </w:p>
    <w:p>
      <w:pPr>
        <w:spacing w:after="0" w:line="14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AllianceBernstein is a leading global investment management firm that offers diversified investment services to institutional investors, individuals and private wealth clients in major world markets.</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As of March 31, 2026, including both the general partnership and limited partnership interests in AllianceBernstein, AllianceBernstein Holding owned approximately 31.4% of AllianceBernstein. Including both the general partnership and limited partnership interest in AllianceBernstein Holding and AllianceBernstein, Equitable Holdings, Inc. ("EQH"), owned an approximate 68.0% economic interest in AllianceBernstein.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Additional information about AB may be found on our website, </w:t>
      </w:r>
      <w:r>
        <w:rPr>
          <w:rFonts w:ascii="Arial" w:cs="Arial" w:eastAsia="Arial" w:hAnsi="Arial"/>
          <w:sz w:val="14"/>
          <w:szCs w:val="14"/>
          <w:u w:val="single" w:color="auto"/>
          <w:color w:val="0000FF"/>
        </w:rPr>
        <w:t>www.alliancebernstein.com</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400" w:val="left"/>
        </w:tabs>
        <w:rPr>
          <w:sz w:val="20"/>
          <w:szCs w:val="20"/>
          <w:color w:val="auto"/>
        </w:rPr>
      </w:pPr>
      <w:r>
        <w:rPr>
          <w:rFonts w:ascii="Arial" w:cs="Arial" w:eastAsia="Arial" w:hAnsi="Arial"/>
          <w:sz w:val="11"/>
          <w:szCs w:val="11"/>
          <w:color w:val="auto"/>
        </w:rPr>
        <w:t>www.alliancebernstein.com</w:t>
        <w:tab/>
        <w:t>2 of 2</w:t>
      </w:r>
    </w:p>
    <w:sectPr>
      <w:pgSz w:w="11900" w:h="16838" w:orient="portrait"/>
      <w:cols w:equalWidth="0" w:num="1">
        <w:col w:w="11280"/>
      </w:cols>
      <w:pgMar w:left="30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2026-06-10T16:24:59Z</dcterms:created>
  <dcterms:modified xsi:type="dcterms:W3CDTF">2026-06-10T16:24:59Z</dcterms:modified>
</cp:coreProperties>
</file>