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Cava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8,876,470.00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9,089,352.00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96,602.00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9,185,954.00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10000"/>
          </w:cols>
          <w:pgMar w:left="360" w:top="111"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Cava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 RIDGE SQUARE NW,, SUITE 500,, WASHINGTON,, DC, 20016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AllianceBernstein L.P. ("AllianceBernstein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501 Commerce Street, Nashville, TN 37203 All media outlets, please contact Jennifer Will at AllianceBernstein (212-969-1157) with any questions. All other questions can be directed to Section13USFilings@alliancebernstein.com.</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5"/>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1120"/>
          </w:cols>
          <w:pgMar w:left="360" w:top="111" w:right="41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9,185,954 shares acquired solely for investment purposes on behalf of client discretionary investment advisory</w:t>
      </w:r>
    </w:p>
    <w:p>
      <w:pPr>
        <w:spacing w:after="0" w:line="14" w:lineRule="exact"/>
        <w:rPr>
          <w:sz w:val="20"/>
          <w:szCs w:val="20"/>
          <w:color w:val="auto"/>
        </w:rPr>
      </w:pPr>
    </w:p>
    <w:p>
      <w:pPr>
        <w:ind w:left="920" w:right="300" w:hanging="912"/>
        <w:spacing w:after="0" w:line="196"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7.9 %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8,876,470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9,089,352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96,602</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AllianceBernstein L.P.</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Marcus Edwards</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color w:val="auto"/>
        </w:rPr>
        <w:t>Name/Title: AVP/ Senior Compliance Associate</w:t>
      </w:r>
    </w:p>
    <w:p>
      <w:pPr>
        <w:spacing w:after="0" w:line="56"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5"/>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2026-05-18T12:11:29Z</dcterms:created>
  <dcterms:modified xsi:type="dcterms:W3CDTF">2026-05-18T12:11:29Z</dcterms:modified>
</cp:coreProperties>
</file>