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Simeone Thomas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1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ALLIANCEBERNSTEIN</w:t>
            </w:r>
          </w:p>
        </w:tc>
        <w:tc>
          <w:tcPr>
            <w:tcW w:w="13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COMMERCE STREET</w:t>
            </w:r>
          </w:p>
        </w:tc>
        <w:tc>
          <w:tcPr>
            <w:tcW w:w="13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12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1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640" w:type="dxa"/>
            <w:vAlign w:val="bottom"/>
            <w:tcBorders>
              <w:bottom w:val="single" w:sz="8" w:color="0000EE"/>
            </w:tcBorders>
            <w:gridSpan w:val="2"/>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ALLIANCEBERNSTEIN HOLDING L.P.</w:t>
              </w:r>
            </w:hyperlink>
          </w:p>
        </w:tc>
        <w:tc>
          <w:tcPr>
            <w:tcW w:w="10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AB</w:t>
            </w:r>
            <w:r>
              <w:rPr>
                <w:rFonts w:ascii="Times New Roman" w:cs="Times New Roman" w:eastAsia="Times New Roman" w:hAnsi="Times New Roman"/>
                <w:sz w:val="21"/>
                <w:szCs w:val="21"/>
                <w:color w:val="auto"/>
              </w:rPr>
              <w:t xml:space="preserve"> ]</w:t>
            </w: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7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560"/>
              <w:spacing w:after="0" w:line="185" w:lineRule="exact"/>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12/10/2025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122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7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through rabbi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 under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employee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AB Holding Units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12/10/2025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17"/>
                <w:szCs w:val="17"/>
                <w:color w:val="0000FF"/>
              </w:rPr>
              <w:t>11,554</w:t>
            </w:r>
            <w:r>
              <w:rPr>
                <w:rFonts w:ascii="Times New Roman" w:cs="Times New Roman" w:eastAsia="Times New Roman" w:hAnsi="Times New Roman"/>
                <w:sz w:val="22"/>
                <w:szCs w:val="22"/>
                <w:color w:val="008000"/>
                <w:vertAlign w:val="superscript"/>
              </w:rPr>
              <w:t>(2)</w:t>
            </w:r>
          </w:p>
        </w:tc>
        <w:tc>
          <w:tcPr>
            <w:tcW w:w="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Pr>
          <w:p>
            <w:pPr>
              <w:ind w:left="220"/>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41.11</w:t>
            </w:r>
            <w:r>
              <w:rPr>
                <w:rFonts w:ascii="Times New Roman" w:cs="Times New Roman" w:eastAsia="Times New Roman" w:hAnsi="Times New Roman"/>
                <w:sz w:val="22"/>
                <w:szCs w:val="22"/>
                <w:color w:val="008000"/>
                <w:w w:val="98"/>
                <w:vertAlign w:val="superscript"/>
              </w:rPr>
              <w:t>(3)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28,069</w:t>
            </w:r>
          </w:p>
        </w:tc>
        <w:tc>
          <w:tcPr>
            <w:tcW w:w="960" w:type="dxa"/>
            <w:vAlign w:val="bottom"/>
          </w:tcPr>
          <w:p>
            <w:pPr>
              <w:ind w:left="7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incentive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compensation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award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program</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7"/>
          </w:tcPr>
          <w:p>
            <w:pPr>
              <w:spacing w:after="0"/>
              <w:rPr>
                <w:sz w:val="8"/>
                <w:szCs w:val="8"/>
                <w:color w:val="auto"/>
              </w:rPr>
            </w:pPr>
          </w:p>
        </w:tc>
        <w:tc>
          <w:tcPr>
            <w:tcW w:w="174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jc w:val="center"/>
              <w:ind w:right="1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representing assignments of beneficial ownership of limited partnership interests in AllianceBernstein Holding L.P. ("AB Holding Units").</w:t>
      </w:r>
    </w:p>
    <w:p>
      <w:pPr>
        <w:spacing w:after="0" w:line="50"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2025 long-term incentive compensation award, which was approved by the Compensation and Workplace Practices Committee of the Board of Directors as of December 10, 2025, was made in the form of AB Holding Units. Reporting Person therefore may be deemed to have acquired 11,554 AB Holding Units. These AB Holding Units are held in a rabbi trust under AllianceBernstein's incentive compensation award program until they vest and are delivered to the Reporting Person. The award vests, subject to various agreements and covenants set forth in the applicable award agreement, in equal annual increments on each of December 1, 2026, 2027 and 2028.</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of an AB Holding Unit (NYSE: AB) on the date as of which the award was approved and valued (December 10,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Simeone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12/12/2025</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0755" TargetMode="External"/><Relationship Id="rId14" Type="http://schemas.openxmlformats.org/officeDocument/2006/relationships/hyperlink" Target="http://www.sec.gov/cgi-bin/browse-edgar?action=getcompany&amp;CIK=0000825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2025-12-12T15:10:21Z</dcterms:created>
  <dcterms:modified xsi:type="dcterms:W3CDTF">2025-12-12T15:10:21Z</dcterms:modified>
</cp:coreProperties>
</file>