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13, 2026 (October 12,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7.01.</w:t>
      </w:r>
      <w:r>
        <w:rPr>
          <w:color w:val="000000"/>
        </w:rPr>
        <w:t>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October 12, 2026 announcing AB’s preliminary assets under management as of September 30, 2026. The AUM Release is attached hereto as Exhibit 99.01.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septemberaumr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07" w:type="dxa"/>
        <w:jc w:val="center"/>
        <w:tblInd w:w="0" w:type="dxa"/>
        <w:tblLayout w:type="fixed"/>
        <w:tblCellMar>
          <w:top w:w="28" w:type="dxa"/>
          <w:left w:w="28" w:type="dxa"/>
          <w:bottom w:w="28" w:type="dxa"/>
          <w:right w:w="28" w:type="dxa"/>
        </w:tblCellMar>
      </w:tblPr>
      <w:tblGrid>
        <w:gridCol w:w="896"/>
        <w:gridCol w:w="787"/>
        <w:gridCol w:w="791"/>
        <w:gridCol w:w="109"/>
        <w:gridCol w:w="109"/>
        <w:gridCol w:w="109"/>
        <w:gridCol w:w="686"/>
        <w:gridCol w:w="686"/>
        <w:gridCol w:w="686"/>
        <w:gridCol w:w="686"/>
        <w:gridCol w:w="686"/>
        <w:gridCol w:w="97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September 30,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October 12, 2026 - AllianceBernstein L.P. (“AB”) and AllianceBernstein Holding L.P. (“AB Holding”) (NYSE: AB) announced today that preliminary assets under management decreased to $900 billion during September 2026 from $919 billion at the end of August. The 2% decline in month-end AUM was primarily driven by market depreciation, coupled with net outflows during the month. By channel, Institutional generated net inflows, which were partially offset by net outflows in Retail and Private Wealth. For the quarter ended September 30, 2026, preliminary firmwide net inflows totaled approximately $6.0 billion.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Aug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383</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389</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10205" w:type="dxa"/>
            <w:gridSpan w:val="6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June 30,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September 30, 2026, including both the general partnership and limited partnership interests in AllianceBernstein, AllianceBernstein Holding owned approximately 31.1% of AllianceBernstein. Including both the general partnership and limited partnership interests in AllianceBernstein Holding and AllianceBernstein, Equitable Holdings, Inc. ("EQH"), owned an approximate 68.3%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1011</Words>
  <Characters>5941</Characters>
  <CharactersWithSpaces>6855</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