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7229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229475"/>
                    </a:xfrm>
                    <a:prstGeom prst="rect">
                      <a:avLst/>
                    </a:prstGeom>
                    <a:noFill/>
                  </pic:spPr>
                </pic:pic>
              </a:graphicData>
            </a:graphic>
          </wp:anchor>
        </w:drawing>
      </w:r>
    </w:p>
    <w:p>
      <w:pPr>
        <w:spacing w:after="0" w:line="1160" w:lineRule="exact"/>
        <w:rPr>
          <w:sz w:val="24"/>
          <w:szCs w:val="24"/>
          <w:color w:val="auto"/>
        </w:rPr>
      </w:pPr>
    </w:p>
    <w:p>
      <w:pPr>
        <w:sectPr>
          <w:pgSz w:w="11900" w:h="16842"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8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Equitable Holdings, Inc.</w:t>
              </w:r>
            </w:hyperlink>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ALLIANCEBERNSTEIN L.P.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NONE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980" w:type="dxa"/>
            <w:vAlign w:val="bottom"/>
            <w:tcBorders>
              <w:bottom w:val="single" w:sz="8" w:color="0000EE"/>
            </w:tcBorders>
            <w:gridSpan w:val="4"/>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980" w:type="dxa"/>
            <w:vAlign w:val="bottom"/>
            <w:gridSpan w:val="4"/>
          </w:tcPr>
          <w:p>
            <w:pPr>
              <w:spacing w:after="0"/>
              <w:rPr>
                <w:sz w:val="6"/>
                <w:szCs w:val="6"/>
                <w:color w:val="auto"/>
              </w:rPr>
            </w:pPr>
          </w:p>
        </w:tc>
        <w:tc>
          <w:tcPr>
            <w:tcW w:w="2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9"/>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8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0000FF"/>
              </w:rPr>
              <w:t>04/02/2025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Remarks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3"/>
          </w:tcPr>
          <w:p>
            <w:pPr>
              <w:spacing w:after="0"/>
              <w:rPr>
                <w:sz w:val="13"/>
                <w:szCs w:val="13"/>
                <w:color w:val="auto"/>
              </w:rPr>
            </w:pPr>
          </w:p>
        </w:tc>
        <w:tc>
          <w:tcPr>
            <w:tcW w:w="1000" w:type="dxa"/>
            <w:vAlign w:val="bottom"/>
            <w:tcBorders>
              <w:bottom w:val="single" w:sz="8" w:color="2C2C2C"/>
            </w:tcBorders>
            <w:gridSpan w:val="2"/>
          </w:tcPr>
          <w:p>
            <w:pPr>
              <w:spacing w:after="0"/>
              <w:rPr>
                <w:sz w:val="13"/>
                <w:szCs w:val="13"/>
                <w:color w:val="auto"/>
              </w:rPr>
            </w:pPr>
          </w:p>
        </w:tc>
        <w:tc>
          <w:tcPr>
            <w:tcW w:w="840" w:type="dxa"/>
            <w:vAlign w:val="bottom"/>
            <w:tcBorders>
              <w:bottom w:val="single" w:sz="8" w:color="2C2C2C"/>
            </w:tcBorders>
            <w:gridSpan w:val="2"/>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gridSpan w:val="2"/>
          </w:tcPr>
          <w:p>
            <w:pPr>
              <w:spacing w:after="0"/>
              <w:rPr>
                <w:sz w:val="13"/>
                <w:szCs w:val="13"/>
                <w:color w:val="auto"/>
              </w:rPr>
            </w:pPr>
          </w:p>
        </w:tc>
        <w:tc>
          <w:tcPr>
            <w:tcW w:w="2840" w:type="dxa"/>
            <w:vAlign w:val="bottom"/>
            <w:tcBorders>
              <w:bottom w:val="single" w:sz="8" w:color="2C2C2C"/>
            </w:tcBorders>
            <w:gridSpan w:val="6"/>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10"/>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10105</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8"/>
          </w:tcPr>
          <w:p>
            <w:pPr>
              <w:ind w:left="14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42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7"/>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7"/>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6"/>
          </w:tcPr>
          <w:p>
            <w:pPr>
              <w:ind w:left="8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2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3"/>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20" w:type="dxa"/>
            <w:vAlign w:val="bottom"/>
            <w:gridSpan w:val="1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1"/>
                <w:szCs w:val="11"/>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Exchange</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5"/>
                <w:szCs w:val="15"/>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04/02/2025</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0000FF"/>
              </w:rPr>
              <w:t>J</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4,788,806</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12/19/2024</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12/19/2026</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4,788,806</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6"/>
              </w:rPr>
              <w:t>4,788,806</w:t>
            </w:r>
          </w:p>
        </w:tc>
        <w:tc>
          <w:tcPr>
            <w:tcW w:w="26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008000"/>
                <w:w w:val="77"/>
              </w:rPr>
              <w:t>(3)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gridSpan w:val="3"/>
          </w:tcPr>
          <w:p>
            <w:pPr>
              <w:ind w:left="60"/>
              <w:spacing w:after="0" w:line="69" w:lineRule="exact"/>
              <w:rPr>
                <w:sz w:val="20"/>
                <w:szCs w:val="20"/>
                <w:color w:val="auto"/>
              </w:rPr>
            </w:pPr>
            <w:r>
              <w:rPr>
                <w:rFonts w:ascii="Times New Roman" w:cs="Times New Roman" w:eastAsia="Times New Roman" w:hAnsi="Times New Roman"/>
                <w:sz w:val="7"/>
                <w:szCs w:val="7"/>
                <w:color w:val="0000FF"/>
                <w:vertAlign w:val="subscript"/>
              </w:rPr>
              <w:t>Right</w:t>
            </w:r>
            <w:r>
              <w:rPr>
                <w:rFonts w:ascii="Times New Roman" w:cs="Times New Roman" w:eastAsia="Times New Roman" w:hAnsi="Times New Roman"/>
                <w:sz w:val="6"/>
                <w:szCs w:val="6"/>
                <w:color w:val="008000"/>
              </w:rPr>
              <w:t>(1)(2)</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gridSpan w:val="2"/>
          </w:tcPr>
          <w:p>
            <w:pPr>
              <w:spacing w:after="0"/>
              <w:rPr>
                <w:sz w:val="15"/>
                <w:szCs w:val="15"/>
                <w:color w:val="auto"/>
              </w:rPr>
            </w:pPr>
          </w:p>
        </w:tc>
        <w:tc>
          <w:tcPr>
            <w:tcW w:w="1980" w:type="dxa"/>
            <w:vAlign w:val="bottom"/>
            <w:tcBorders>
              <w:bottom w:val="single" w:sz="8" w:color="2C2C2C"/>
            </w:tcBorders>
            <w:gridSpan w:val="4"/>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Equitable Holdings, Inc.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10105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980" w:type="dxa"/>
            <w:vAlign w:val="bottom"/>
            <w:tcBorders>
              <w:bottom w:val="single" w:sz="8" w:color="2C2C2C"/>
            </w:tcBorders>
            <w:gridSpan w:val="4"/>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Alpha Units Holdings, Inc.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10105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-4689475</wp:posOffset>
            </wp:positionV>
            <wp:extent cx="28575" cy="1591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59194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4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19, 2024, AllianceBernstein L.P. ("AB") entered into a Master Exchange Agreement ("Exchange Agreement") providing for the issuance by AB of up to 10,000,000 Units Representing Assignments of Beneficial Ownership of Limited Partnership Interests ("AB Units") of AB to Equitable Holdings, Inc. ("EQH") and any of its wholly-owned subsidiaries in exchange for an equal number of Assignments of Beneficial Ownership of Limited Partnership Interests ("Holding Units") in AllianceBernstein Holding L.P. ("Holding") owned by the EQH and such subsidiary, with such exchanges to occur from time to time until December 19, 2026. Each Holding Unit so exchanged will be retired following such exchange. At the time the Exchange Agreement was entered into,</w:t>
      </w:r>
    </w:p>
    <w:p>
      <w:pPr>
        <w:spacing w:after="0" w:line="27"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 and the EQH exchanged 3,766,838 AB Units and AB and Alpha Units Holdings, Inc. exchanged 1,444,356 AB Units, in each case for an equal number of Holding Units (thereby reducing the 10,000,000 AB Units available for future exchange), and the acquired Holding Units were retired.</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disclosed in this row reflect the purchase of Holding Units by EQH pursuant to a tender offer that expired at 5:00 p.m., New York City time, on April 1, 2025. Although EQH purchased 19,766,878 Holding Units in the tender offer, only 4,788,806 Holding Units are exchangeable for AB Units under the Exchange Agreement. For more information on EQH's holdings of Holding Units, see its separate Form 4 filings with respect to Holding Units.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Affiliate of holder of general partnership units.</w:t>
      </w:r>
    </w:p>
    <w:p>
      <w:pPr>
        <w:sectPr>
          <w:pgSz w:w="11900" w:h="16842" w:orient="portrait"/>
          <w:cols w:equalWidth="0" w:num="1">
            <w:col w:w="11080"/>
          </w:cols>
          <w:pgMar w:left="460" w:top="216" w:right="359" w:bottom="0" w:gutter="0" w:footer="0" w:header="0"/>
          <w:type w:val="continuous"/>
        </w:sectPr>
      </w:pP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Michael Brudoley, Assistant  04/04/2025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-3175</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ectPr>
          <w:pgSz w:w="11900" w:h="16842"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Secretary, Equitable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82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Inc. and Alpha Units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311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6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333986" TargetMode="External"/><Relationship Id="rId14" Type="http://schemas.openxmlformats.org/officeDocument/2006/relationships/hyperlink" Target="http://www.sec.gov/cgi-bin/browse-edgar?action=getcompany&amp;CIK=0001109448" TargetMode="External"/><Relationship Id="rId15" Type="http://schemas.openxmlformats.org/officeDocument/2006/relationships/hyperlink" Target="http://www.sec.gov/cgi-bin/browse-edgar?action=getcompany&amp;CIK=00017619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2025-04-04T16:42:39Z</dcterms:created>
  <dcterms:modified xsi:type="dcterms:W3CDTF">2025-04-04T16:42:39Z</dcterms:modified>
</cp:coreProperties>
</file>