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83"/>
        <w:jc w:val="center"/>
        <w:rPr/>
      </w:pPr>
      <w:r>
        <w:rPr>
          <w:rFonts w:ascii="Times New Roman;serif" w:hAnsi="Times New Roman;serif"/>
          <w:b/>
          <w:color w:val="000000"/>
          <w:sz w:val="36"/>
        </w:rPr>
        <w:t>FORM</w:t>
      </w:r>
      <w:r>
        <w:rPr>
          <w:color w:val="000000"/>
        </w:rPr>
        <w:t xml:space="preserve"> </w:t>
      </w:r>
      <w:r>
        <w:rPr>
          <w:rFonts w:ascii="Times New Roman;serif" w:hAnsi="Times New Roman;serif"/>
          <w:b/>
          <w:color w:val="000000"/>
          <w:sz w:val="36"/>
        </w:rPr>
        <w:t xml:space="preserve">10-Q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No.  001-09818 </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 xml:space="preserve">ALLIANCEBERNSTEIN HOLDING L.P.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13-3434400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501 Commerce Street, Nashville, TN 37203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(Zip Code)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(615) 622-0000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2447"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109"/>
        <w:gridCol w:w="109"/>
        <w:gridCol w:w="109"/>
        <w:gridCol w:w="115"/>
        <w:gridCol w:w="115"/>
        <w:gridCol w:w="116"/>
        <w:gridCol w:w="109"/>
        <w:gridCol w:w="109"/>
        <w:gridCol w:w="109"/>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2447"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109"/>
        <w:gridCol w:w="109"/>
        <w:gridCol w:w="109"/>
        <w:gridCol w:w="115"/>
        <w:gridCol w:w="115"/>
        <w:gridCol w:w="116"/>
        <w:gridCol w:w="109"/>
        <w:gridCol w:w="109"/>
        <w:gridCol w:w="109"/>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 (Check one):</w:t>
      </w:r>
    </w:p>
    <w:tbl>
      <w:tblPr>
        <w:tblW w:w="10205" w:type="dxa"/>
        <w:jc w:val="left"/>
        <w:tblInd w:w="0" w:type="dxa"/>
        <w:tblLayout w:type="fixed"/>
        <w:tblCellMar>
          <w:top w:w="28" w:type="dxa"/>
          <w:left w:w="28" w:type="dxa"/>
          <w:bottom w:w="28" w:type="dxa"/>
          <w:right w:w="28" w:type="dxa"/>
        </w:tblCellMar>
      </w:tblPr>
      <w:tblGrid>
        <w:gridCol w:w="1732"/>
        <w:gridCol w:w="1341"/>
        <w:gridCol w:w="1325"/>
        <w:gridCol w:w="227"/>
        <w:gridCol w:w="227"/>
        <w:gridCol w:w="227"/>
        <w:gridCol w:w="1447"/>
        <w:gridCol w:w="1447"/>
        <w:gridCol w:w="1452"/>
        <w:gridCol w:w="227"/>
        <w:gridCol w:w="227"/>
        <w:gridCol w:w="326"/>
      </w:tblGrid>
      <w:tr>
        <w:trPr/>
        <w:tc>
          <w:tcPr>
            <w:tcW w:w="173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43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color w:val="000000"/>
                <w:sz w:val="20"/>
              </w:rPr>
            </w:pPr>
            <w:r>
              <w:rPr>
                <w:rFonts w:ascii="Times New Roman;serif" w:hAnsi="Times New Roman;serif"/>
                <w:b/>
                <w:color w:val="000000"/>
                <w:sz w:val="20"/>
              </w:rPr>
              <w:t xml:space="preserve">Large accelerated filer </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Accelerated filer </w:t>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4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color w:val="000000"/>
                <w:sz w:val="20"/>
              </w:rPr>
            </w:pPr>
            <w:r>
              <w:rPr>
                <w:rFonts w:ascii="Times New Roman;serif" w:hAnsi="Times New Roman;serif"/>
                <w:b/>
                <w:color w:val="000000"/>
                <w:sz w:val="20"/>
              </w:rPr>
              <w:t xml:space="preserve">Non-accelerated filer </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Smaller reporting company </w:t>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4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Emerging growth company </w:t>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4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left"/>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tbl>
      <w:tblPr>
        <w:tblW w:w="2120"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115"/>
        <w:gridCol w:w="115"/>
        <w:gridCol w:w="116"/>
        <w:gridCol w:w="109"/>
        <w:gridCol w:w="109"/>
        <w:gridCol w:w="109"/>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988"/>
        <w:gridCol w:w="1678"/>
        <w:gridCol w:w="1631"/>
        <w:gridCol w:w="109"/>
        <w:gridCol w:w="109"/>
        <w:gridCol w:w="109"/>
        <w:gridCol w:w="419"/>
        <w:gridCol w:w="419"/>
        <w:gridCol w:w="421"/>
        <w:gridCol w:w="109"/>
        <w:gridCol w:w="109"/>
        <w:gridCol w:w="109"/>
        <w:gridCol w:w="873"/>
        <w:gridCol w:w="873"/>
        <w:gridCol w:w="1249"/>
      </w:tblGrid>
      <w:tr>
        <w:trPr/>
        <w:tc>
          <w:tcPr>
            <w:tcW w:w="198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5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5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Units Rep. Assignments of Beneficial Ownership of LP Interests in AB Holding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20" w:after="283"/>
        <w:jc w:val="both"/>
        <w:rPr>
          <w:rFonts w:ascii="Times New Roman;serif" w:hAnsi="Times New Roman;serif"/>
          <w:b w:val="false"/>
          <w:color w:val="000000"/>
          <w:sz w:val="20"/>
        </w:rPr>
      </w:pPr>
      <w:r>
        <w:rPr>
          <w:rFonts w:ascii="Times New Roman;serif" w:hAnsi="Times New Roman;serif"/>
          <w:b w:val="false"/>
          <w:color w:val="000000"/>
          <w:sz w:val="20"/>
        </w:rPr>
        <w:t>The number of units representing assignments of beneficial ownership of limited partnership interests outstanding as of March 31, 2026 was 93,403,853.*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*includes 100,000 units of general partnership interest having economic interests equivalent to the economic interests of the units representing assignments of beneficial ownership of limited partnership interests.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ALLIANCEBERNSTEIN HOLDING L.P.</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Index to Form 10-Q</w:t>
      </w:r>
    </w:p>
    <w:tbl>
      <w:tblPr>
        <w:tblW w:w="8746" w:type="dxa"/>
        <w:jc w:val="left"/>
        <w:tblInd w:w="0" w:type="dxa"/>
        <w:tblLayout w:type="fixed"/>
        <w:tblCellMar>
          <w:top w:w="28" w:type="dxa"/>
          <w:left w:w="28" w:type="dxa"/>
          <w:bottom w:w="28" w:type="dxa"/>
          <w:right w:w="28" w:type="dxa"/>
        </w:tblCellMar>
      </w:tblPr>
      <w:tblGrid>
        <w:gridCol w:w="293"/>
        <w:gridCol w:w="258"/>
        <w:gridCol w:w="259"/>
        <w:gridCol w:w="2450"/>
        <w:gridCol w:w="2450"/>
        <w:gridCol w:w="2465"/>
        <w:gridCol w:w="167"/>
        <w:gridCol w:w="167"/>
        <w:gridCol w:w="23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Part I</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FINANCIAL INFORMATION</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1311fd8e7df48aea4966f1a06c3da93_13">
              <w:r>
                <w:rPr>
                  <w:rStyle w:val="InternetLink"/>
                  <w:rFonts w:ascii="Times New Roman;serif" w:hAnsi="Times New Roman;serif"/>
                  <w:b w:val="false"/>
                  <w:color w:val="0000FF"/>
                  <w:sz w:val="20"/>
                  <w:u w:val="single"/>
                </w:rPr>
                <w:t>Financial Statements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1311fd8e7df48aea4966f1a06c3da93_16">
              <w:r>
                <w:rPr>
                  <w:rStyle w:val="InternetLink"/>
                  <w:rFonts w:ascii="Times New Roman;serif" w:hAnsi="Times New Roman;serif"/>
                  <w:b w:val="false"/>
                  <w:color w:val="0000FF"/>
                  <w:sz w:val="20"/>
                  <w:u w:val="single"/>
                </w:rPr>
                <w:t>Condensed Statements of Financial Condition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311fd8e7df48aea4966f1a06c3da93_16">
              <w:r>
                <w:rPr>
                  <w:rStyle w:val="InternetLink"/>
                  <w:rFonts w:ascii="Times New Roman;serif" w:hAnsi="Times New Roman;serif"/>
                  <w:b w:val="false"/>
                  <w:color w:val="0000FF"/>
                  <w:sz w:val="20"/>
                  <w:u w:val="single"/>
                </w:rPr>
                <w:t>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1311fd8e7df48aea4966f1a06c3da93_19">
              <w:r>
                <w:rPr>
                  <w:rStyle w:val="InternetLink"/>
                  <w:rFonts w:ascii="Times New Roman;serif" w:hAnsi="Times New Roman;serif"/>
                  <w:b w:val="false"/>
                  <w:color w:val="0000FF"/>
                  <w:sz w:val="20"/>
                  <w:u w:val="single"/>
                </w:rPr>
                <w:t>Condensed Statements of Income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311fd8e7df48aea4966f1a06c3da93_19">
              <w:r>
                <w:rPr>
                  <w:rStyle w:val="InternetLink"/>
                  <w:rFonts w:ascii="Times New Roman;serif" w:hAnsi="Times New Roman;serif"/>
                  <w:b w:val="false"/>
                  <w:color w:val="0000FF"/>
                  <w:sz w:val="20"/>
                  <w:u w:val="single"/>
                </w:rPr>
                <w:t>2</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1311fd8e7df48aea4966f1a06c3da93_22">
              <w:r>
                <w:rPr>
                  <w:rStyle w:val="InternetLink"/>
                  <w:rFonts w:ascii="Times New Roman;serif" w:hAnsi="Times New Roman;serif"/>
                  <w:b w:val="false"/>
                  <w:color w:val="0000FF"/>
                  <w:sz w:val="20"/>
                  <w:u w:val="single"/>
                </w:rPr>
                <w:t>Condensed Statements of Comprehensive Income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311fd8e7df48aea4966f1a06c3da93_22">
              <w:r>
                <w:rPr>
                  <w:rStyle w:val="InternetLink"/>
                  <w:rFonts w:ascii="Times New Roman;serif" w:hAnsi="Times New Roman;serif"/>
                  <w:b w:val="false"/>
                  <w:color w:val="0000FF"/>
                  <w:sz w:val="20"/>
                  <w:u w:val="single"/>
                </w:rPr>
                <w:t>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1311fd8e7df48aea4966f1a06c3da93_25">
              <w:r>
                <w:rPr>
                  <w:rStyle w:val="InternetLink"/>
                  <w:rFonts w:ascii="Times New Roman;serif" w:hAnsi="Times New Roman;serif"/>
                  <w:b w:val="false"/>
                  <w:color w:val="0000FF"/>
                  <w:sz w:val="20"/>
                  <w:u w:val="single"/>
                </w:rPr>
                <w:t>Condensed Statements of Changes in Partners' Capital</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311fd8e7df48aea4966f1a06c3da93_25">
              <w:r>
                <w:rPr>
                  <w:rStyle w:val="InternetLink"/>
                  <w:rFonts w:ascii="Times New Roman;serif" w:hAnsi="Times New Roman;serif"/>
                  <w:b w:val="false"/>
                  <w:color w:val="0000FF"/>
                  <w:sz w:val="20"/>
                  <w:u w:val="singl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1311fd8e7df48aea4966f1a06c3da93_28">
              <w:r>
                <w:rPr>
                  <w:rStyle w:val="InternetLink"/>
                  <w:rFonts w:ascii="Times New Roman;serif" w:hAnsi="Times New Roman;serif"/>
                  <w:b w:val="false"/>
                  <w:color w:val="0000FF"/>
                  <w:sz w:val="20"/>
                  <w:u w:val="single"/>
                </w:rPr>
                <w:t>Condensed Statements of Cash Flows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311fd8e7df48aea4966f1a06c3da93_28">
              <w:r>
                <w:rPr>
                  <w:rStyle w:val="InternetLink"/>
                  <w:rFonts w:ascii="Times New Roman;serif" w:hAnsi="Times New Roman;serif"/>
                  <w:b w:val="false"/>
                  <w:color w:val="0000FF"/>
                  <w:sz w:val="20"/>
                  <w:u w:val="single"/>
                </w:rPr>
                <w:t>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1311fd8e7df48aea4966f1a06c3da93_31">
              <w:r>
                <w:rPr>
                  <w:rStyle w:val="InternetLink"/>
                  <w:rFonts w:ascii="Times New Roman;serif" w:hAnsi="Times New Roman;serif"/>
                  <w:b w:val="false"/>
                  <w:color w:val="0000FF"/>
                  <w:sz w:val="20"/>
                  <w:u w:val="single"/>
                </w:rPr>
                <w:t>Notes to Condensed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311fd8e7df48aea4966f1a06c3da93_31">
              <w:r>
                <w:rPr>
                  <w:rStyle w:val="InternetLink"/>
                  <w:rFonts w:ascii="Times New Roman;serif" w:hAnsi="Times New Roman;serif"/>
                  <w:b w:val="false"/>
                  <w:color w:val="0000FF"/>
                  <w:sz w:val="20"/>
                  <w:u w:val="single"/>
                </w:rPr>
                <w:t>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1311fd8e7df48aea4966f1a06c3da93_6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311fd8e7df48aea4966f1a06c3da93_61">
              <w:r>
                <w:rPr>
                  <w:rStyle w:val="InternetLink"/>
                  <w:rFonts w:ascii="Times New Roman;serif" w:hAnsi="Times New Roman;serif"/>
                  <w:b w:val="false"/>
                  <w:color w:val="0000FF"/>
                  <w:sz w:val="20"/>
                  <w:u w:val="single"/>
                </w:rPr>
                <w:t>11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1311fd8e7df48aea4966f1a06c3da93_82">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311fd8e7df48aea4966f1a06c3da93_82">
              <w:r>
                <w:rPr>
                  <w:rStyle w:val="InternetLink"/>
                  <w:rFonts w:ascii="Times New Roman;serif" w:hAnsi="Times New Roman;serif"/>
                  <w:b w:val="false"/>
                  <w:color w:val="0000FF"/>
                  <w:sz w:val="20"/>
                  <w:u w:val="single"/>
                </w:rPr>
                <w:t>14</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1311fd8e7df48aea4966f1a06c3da93_85">
              <w:r>
                <w:rPr>
                  <w:rStyle w:val="InternetLink"/>
                  <w:rFonts w:ascii="Times New Roman;serif" w:hAnsi="Times New Roman;serif"/>
                  <w:b w:val="false"/>
                  <w:color w:val="0000FF"/>
                  <w:sz w:val="20"/>
                  <w:u w:val="single"/>
                </w:rPr>
                <w:t>Controls and Procedures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311fd8e7df48aea4966f1a06c3da93_85">
              <w:r>
                <w:rPr>
                  <w:rStyle w:val="InternetLink"/>
                  <w:rFonts w:ascii="Times New Roman;serif" w:hAnsi="Times New Roman;serif"/>
                  <w:b w:val="false"/>
                  <w:color w:val="0000FF"/>
                  <w:sz w:val="20"/>
                  <w:u w:val="single"/>
                </w:rPr>
                <w:t>14</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Part II</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1311fd8e7df48aea4966f1a06c3da93_91">
              <w:r>
                <w:rPr>
                  <w:rStyle w:val="InternetLink"/>
                  <w:rFonts w:ascii="Times New Roman;serif" w:hAnsi="Times New Roman;serif"/>
                  <w:b w:val="false"/>
                  <w:color w:val="0000FF"/>
                  <w:sz w:val="20"/>
                  <w:u w:val="single"/>
                </w:rPr>
                <w:t>Legal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311fd8e7df48aea4966f1a06c3da93_91">
              <w:r>
                <w:rPr>
                  <w:rStyle w:val="InternetLink"/>
                  <w:rFonts w:ascii="Times New Roman;serif" w:hAnsi="Times New Roman;serif"/>
                  <w:b w:val="false"/>
                  <w:color w:val="0000FF"/>
                  <w:sz w:val="20"/>
                  <w:u w:val="single"/>
                </w:rPr>
                <w:t>15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1311fd8e7df48aea4966f1a06c3da93_94">
              <w:r>
                <w:rPr>
                  <w:rStyle w:val="InternetLink"/>
                  <w:rFonts w:ascii="Times New Roman;serif" w:hAnsi="Times New Roman;serif"/>
                  <w:b w:val="false"/>
                  <w:color w:val="0000FF"/>
                  <w:sz w:val="20"/>
                  <w:u w:val="single"/>
                </w:rPr>
                <w:t>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311fd8e7df48aea4966f1a06c3da93_94">
              <w:r>
                <w:rPr>
                  <w:rStyle w:val="InternetLink"/>
                  <w:rFonts w:ascii="Times New Roman;serif" w:hAnsi="Times New Roman;serif"/>
                  <w:b w:val="false"/>
                  <w:color w:val="0000FF"/>
                  <w:sz w:val="20"/>
                  <w:u w:val="single"/>
                </w:rPr>
                <w:t>15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1311fd8e7df48aea4966f1a06c3da93_97">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311fd8e7df48aea4966f1a06c3da93_97">
              <w:r>
                <w:rPr>
                  <w:rStyle w:val="InternetLink"/>
                  <w:rFonts w:ascii="Times New Roman;serif" w:hAnsi="Times New Roman;serif"/>
                  <w:b w:val="false"/>
                  <w:color w:val="0000FF"/>
                  <w:sz w:val="20"/>
                  <w:u w:val="single"/>
                </w:rPr>
                <w:t>15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1311fd8e7df48aea4966f1a06c3da93_100">
              <w:r>
                <w:rPr>
                  <w:rStyle w:val="InternetLink"/>
                  <w:rFonts w:ascii="Times New Roman;serif" w:hAnsi="Times New Roman;serif"/>
                  <w:b w:val="false"/>
                  <w:color w:val="0000FF"/>
                  <w:sz w:val="20"/>
                  <w:u w:val="single"/>
                </w:rPr>
                <w:t>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311fd8e7df48aea4966f1a06c3da93_100">
              <w:r>
                <w:rPr>
                  <w:rStyle w:val="InternetLink"/>
                  <w:rFonts w:ascii="Times New Roman;serif" w:hAnsi="Times New Roman;serif"/>
                  <w:b w:val="false"/>
                  <w:color w:val="0000FF"/>
                  <w:sz w:val="20"/>
                  <w:u w:val="single"/>
                </w:rPr>
                <w:t>16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1311fd8e7df48aea4966f1a06c3da93_103">
              <w:r>
                <w:rPr>
                  <w:rStyle w:val="InternetLink"/>
                  <w:rFonts w:ascii="Times New Roman;serif" w:hAnsi="Times New Roman;serif"/>
                  <w:b w:val="false"/>
                  <w:color w:val="0000FF"/>
                  <w:sz w:val="20"/>
                  <w:u w:val="single"/>
                </w:rPr>
                <w:t>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311fd8e7df48aea4966f1a06c3da93_103">
              <w:r>
                <w:rPr>
                  <w:rStyle w:val="InternetLink"/>
                  <w:rFonts w:ascii="Times New Roman;serif" w:hAnsi="Times New Roman;serif"/>
                  <w:b w:val="false"/>
                  <w:color w:val="0000FF"/>
                  <w:sz w:val="20"/>
                  <w:u w:val="single"/>
                </w:rPr>
                <w:t>16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1311fd8e7df48aea4966f1a06c3da93_106">
              <w:r>
                <w:rPr>
                  <w:rStyle w:val="InternetLink"/>
                  <w:rFonts w:ascii="Times New Roman;serif" w:hAnsi="Times New Roman;serif"/>
                  <w:b w:val="false"/>
                  <w:color w:val="0000FF"/>
                  <w:sz w:val="20"/>
                  <w:u w:val="single"/>
                </w:rPr>
                <w:t>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311fd8e7df48aea4966f1a06c3da93_106">
              <w:r>
                <w:rPr>
                  <w:rStyle w:val="InternetLink"/>
                  <w:rFonts w:ascii="Times New Roman;serif" w:hAnsi="Times New Roman;serif"/>
                  <w:b w:val="false"/>
                  <w:color w:val="0000FF"/>
                  <w:sz w:val="20"/>
                  <w:u w:val="single"/>
                </w:rPr>
                <w:t>16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1311fd8e7df48aea4966f1a06c3da93_109">
              <w:r>
                <w:rPr>
                  <w:rStyle w:val="InternetLink"/>
                  <w:rFonts w:ascii="Times New Roman;serif" w:hAnsi="Times New Roman;serif"/>
                  <w:b w:val="false"/>
                  <w:color w:val="0000FF"/>
                  <w:sz w:val="20"/>
                  <w:u w:val="single"/>
                </w:rPr>
                <w:t>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311fd8e7df48aea4966f1a06c3da93_109">
              <w:r>
                <w:rPr>
                  <w:rStyle w:val="InternetLink"/>
                  <w:rFonts w:ascii="Times New Roman;serif" w:hAnsi="Times New Roman;serif"/>
                  <w:b w:val="false"/>
                  <w:color w:val="0000FF"/>
                  <w:sz w:val="20"/>
                  <w:u w:val="single"/>
                </w:rPr>
                <w:t>17</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1311fd8e7df48aea4966f1a06c3da93_112">
              <w:r>
                <w:rPr>
                  <w:rStyle w:val="InternetLink"/>
                  <w:rFonts w:ascii="Times New Roman;serif" w:hAnsi="Times New Roman;serif"/>
                  <w:b w:val="false"/>
                  <w:color w:val="0000FF"/>
                  <w:sz w:val="20"/>
                  <w:u w:val="single"/>
                </w:rPr>
                <w:t>SIGNATURE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311fd8e7df48aea4966f1a06c3da93_112">
              <w:r>
                <w:rPr>
                  <w:rStyle w:val="InternetLink"/>
                  <w:rFonts w:ascii="Times New Roman;serif" w:hAnsi="Times New Roman;serif"/>
                  <w:b w:val="false"/>
                  <w:color w:val="0000FF"/>
                  <w:sz w:val="20"/>
                  <w:u w:val="single"/>
                </w:rPr>
                <w:t>18</w:t>
              </w:r>
            </w:hyperlink>
          </w:p>
        </w:tc>
      </w:tr>
    </w:tbl>
    <w:p>
      <w:pPr>
        <w:pStyle w:val="TextBody"/>
        <w:bidi w:val="0"/>
        <w:spacing w:before="1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1311fd8e7df48aea4966f1a06c3da93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Part I</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1.    </w:t>
      </w:r>
      <w:r>
        <w:rPr>
          <w:rFonts w:ascii="Times New Roman;serif" w:hAnsi="Times New Roman;serif"/>
          <w:b/>
          <w:color w:val="000000"/>
          <w:sz w:val="20"/>
          <w:u w:val="single"/>
        </w:rPr>
        <w:t>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ALLIANCEBERNSTEIN HOLDING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Financial Condition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unit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11"/>
        <w:gridCol w:w="2298"/>
        <w:gridCol w:w="2300"/>
        <w:gridCol w:w="211"/>
        <w:gridCol w:w="991"/>
        <w:gridCol w:w="109"/>
        <w:gridCol w:w="109"/>
        <w:gridCol w:w="109"/>
        <w:gridCol w:w="109"/>
        <w:gridCol w:w="211"/>
        <w:gridCol w:w="991"/>
        <w:gridCol w:w="156"/>
      </w:tblGrid>
      <w:tr>
        <w:trPr/>
        <w:tc>
          <w:tcPr>
            <w:tcW w:w="2611"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AB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1,261,345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1,240,042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PARTNERS’ CAPITAL</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Commitments and contingencies (</w:t>
            </w:r>
            <w:r>
              <w:rPr>
                <w:rFonts w:ascii="Times New Roman;serif" w:hAnsi="Times New Roman;serif"/>
                <w:b w:val="false"/>
                <w:i/>
                <w:color w:val="000000"/>
                <w:sz w:val="20"/>
              </w:rPr>
              <w:t>See Note 8</w:t>
            </w:r>
            <w:r>
              <w:rPr>
                <w:rFonts w:ascii="Times New Roman;serif" w:hAnsi="Times New Roman;serif"/>
                <w:b w:val="false"/>
                <w:color w:val="000000"/>
                <w:sz w:val="20"/>
              </w:rPr>
              <w:t>)</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Partners’ capital:</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Partner: 100,000 general partnership units issued and outstanding</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Limited partners: 93,303,853 and 92,184,367 limited partnership units issued and outstanding</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1,277,569 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Holding Units held by AB for long-term incentive compensation plans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partners’ capital</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1,261,244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1,238,378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partners’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1,261,345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1,240,042</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Financial Statements.</w:t>
      </w:r>
    </w:p>
    <w:p>
      <w:pPr>
        <w:pStyle w:val="TextBody"/>
        <w:bidi w:val="0"/>
        <w:spacing w:before="2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f1311fd8e7df48aea4966f1a06c3da93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ALLIANCEBERNSTEIN HOLDING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unit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110" w:type="dxa"/>
        <w:jc w:val="center"/>
        <w:tblInd w:w="0" w:type="dxa"/>
        <w:tblLayout w:type="fixed"/>
        <w:tblCellMar>
          <w:top w:w="28" w:type="dxa"/>
          <w:left w:w="28" w:type="dxa"/>
          <w:bottom w:w="28" w:type="dxa"/>
          <w:right w:w="28" w:type="dxa"/>
        </w:tblCellMar>
      </w:tblPr>
      <w:tblGrid>
        <w:gridCol w:w="1573"/>
        <w:gridCol w:w="1384"/>
        <w:gridCol w:w="1392"/>
        <w:gridCol w:w="109"/>
        <w:gridCol w:w="109"/>
        <w:gridCol w:w="109"/>
        <w:gridCol w:w="109"/>
        <w:gridCol w:w="109"/>
        <w:gridCol w:w="238"/>
        <w:gridCol w:w="238"/>
        <w:gridCol w:w="462"/>
        <w:gridCol w:w="1612"/>
        <w:gridCol w:w="238"/>
        <w:gridCol w:w="109"/>
        <w:gridCol w:w="109"/>
        <w:gridCol w:w="109"/>
        <w:gridCol w:w="211"/>
        <w:gridCol w:w="736"/>
        <w:gridCol w:w="154"/>
      </w:tblGrid>
      <w:tr>
        <w:trPr/>
        <w:tc>
          <w:tcPr>
            <w:tcW w:w="157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28" w:type="dxa"/>
            <w:gridSpan w:val="6"/>
            <w:tcBorders/>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attributable to AB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92,255 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85,238</w:t>
            </w:r>
            <w:r>
              <w:rPr>
                <w:color w:val="000000"/>
              </w:rPr>
              <w:t>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74,034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Unit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0.92</w:t>
            </w:r>
            <w:r>
              <w:rPr>
                <w:color w:val="000000"/>
              </w:rPr>
              <w:t> </w:t>
            </w:r>
          </w:p>
        </w:tc>
        <w:tc>
          <w:tcPr>
            <w:tcW w:w="2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0.67</w:t>
            </w:r>
            <w:r>
              <w:rPr>
                <w:color w:val="000000"/>
              </w:rPr>
              <w:t>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1311fd8e7df48aea4966f1a06c3da93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ALLIANCEBERNSTEIN HOLDING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253"/>
        <w:gridCol w:w="1951"/>
        <w:gridCol w:w="1969"/>
        <w:gridCol w:w="109"/>
        <w:gridCol w:w="109"/>
        <w:gridCol w:w="173"/>
        <w:gridCol w:w="173"/>
        <w:gridCol w:w="173"/>
        <w:gridCol w:w="173"/>
        <w:gridCol w:w="337"/>
        <w:gridCol w:w="1178"/>
        <w:gridCol w:w="173"/>
        <w:gridCol w:w="109"/>
        <w:gridCol w:w="109"/>
        <w:gridCol w:w="109"/>
        <w:gridCol w:w="211"/>
        <w:gridCol w:w="736"/>
        <w:gridCol w:w="160"/>
      </w:tblGrid>
      <w:tr>
        <w:trPr/>
        <w:tc>
          <w:tcPr>
            <w:tcW w:w="2253"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34" w:type="dxa"/>
            <w:gridSpan w:val="6"/>
            <w:tcBorders/>
          </w:tcPr>
          <w:p>
            <w:pPr>
              <w:pStyle w:val="TableContents"/>
              <w:bidi w:val="0"/>
              <w:spacing w:before="0" w:after="283"/>
              <w:jc w:val="left"/>
              <w:rPr>
                <w:sz w:val="4"/>
                <w:szCs w:val="4"/>
              </w:rPr>
            </w:pPr>
            <w:r>
              <w:rPr>
                <w:sz w:val="4"/>
                <w:szCs w:val="4"/>
              </w:rPr>
            </w:r>
          </w:p>
        </w:tc>
      </w:tr>
      <w:tr>
        <w:trPr/>
        <w:tc>
          <w:tcPr>
            <w:tcW w:w="6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85,238 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before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6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6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benefit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6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6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6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6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6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6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employee benefit related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6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reclassification adjustment for (losses) included in net income upon retirement plan liquidation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6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employee benefit related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related items,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6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83,306</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86,805</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1311fd8e7df48aea4966f1a06c3da93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ALLIANCEBERNSTEIN HOLDING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Changes in Partners’ Capital</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174"/>
        <w:gridCol w:w="1802"/>
        <w:gridCol w:w="1818"/>
        <w:gridCol w:w="109"/>
        <w:gridCol w:w="109"/>
        <w:gridCol w:w="178"/>
        <w:gridCol w:w="178"/>
        <w:gridCol w:w="346"/>
        <w:gridCol w:w="1627"/>
        <w:gridCol w:w="178"/>
        <w:gridCol w:w="109"/>
        <w:gridCol w:w="109"/>
        <w:gridCol w:w="109"/>
        <w:gridCol w:w="211"/>
        <w:gridCol w:w="991"/>
        <w:gridCol w:w="157"/>
      </w:tblGrid>
      <w:tr>
        <w:trPr/>
        <w:tc>
          <w:tcPr>
            <w:tcW w:w="2174"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686" w:type="dxa"/>
            <w:gridSpan w:val="6"/>
            <w:tcBorders/>
          </w:tcPr>
          <w:p>
            <w:pPr>
              <w:pStyle w:val="TableContents"/>
              <w:bidi w:val="0"/>
              <w:spacing w:before="0" w:after="283"/>
              <w:jc w:val="left"/>
              <w:rPr>
                <w:sz w:val="4"/>
                <w:szCs w:val="4"/>
              </w:rPr>
            </w:pPr>
            <w:r>
              <w:rPr>
                <w:sz w:val="4"/>
                <w:szCs w:val="4"/>
              </w:rPr>
            </w:r>
          </w:p>
        </w:tc>
      </w:tr>
      <w:tr>
        <w:trPr/>
        <w:tc>
          <w:tcPr>
            <w:tcW w:w="5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General Partner’s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1,355</w:t>
            </w: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1,401</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to Unitholders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1,351</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1,362</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Limited Partners’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1,277,569</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2,095,248</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to Unitholders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(88,916)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(116,258)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AB Holding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AB Holding Units for long-term incentive compensation plan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5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5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5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1,316,715</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2,058,858</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AB Holding Units held by AB for long-term incentive compensation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(22,682)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(23,363)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AB Holding Units held by AB for long-term incentive compensation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(37,026)</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(34,696)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(17,864)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(41,424)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employee benefit related items,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(19,796)</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(28,653)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Partners’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1,261,244</w:t>
            </w: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1,996,871</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1311fd8e7df48aea4966f1a06c3da93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ALLIANCEBERNSTEIN HOLDING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550" w:type="dxa"/>
        <w:jc w:val="left"/>
        <w:tblInd w:w="0" w:type="dxa"/>
        <w:tblLayout w:type="fixed"/>
        <w:tblCellMar>
          <w:top w:w="28" w:type="dxa"/>
          <w:left w:w="28" w:type="dxa"/>
          <w:bottom w:w="28" w:type="dxa"/>
          <w:right w:w="28" w:type="dxa"/>
        </w:tblCellMar>
      </w:tblPr>
      <w:tblGrid>
        <w:gridCol w:w="2431"/>
        <w:gridCol w:w="2141"/>
        <w:gridCol w:w="2147"/>
        <w:gridCol w:w="240"/>
        <w:gridCol w:w="840"/>
        <w:gridCol w:w="124"/>
        <w:gridCol w:w="124"/>
        <w:gridCol w:w="124"/>
        <w:gridCol w:w="124"/>
        <w:gridCol w:w="240"/>
        <w:gridCol w:w="840"/>
        <w:gridCol w:w="175"/>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85,238</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74,034</w:t>
            </w: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attributable to AB Unitholders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(92,255)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(82,753)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received from AB</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assets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other liabilities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88,519</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115,255</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to Unitholders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(116,364)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from AB</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080"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(88,519)</w:t>
            </w:r>
          </w:p>
        </w:tc>
        <w:tc>
          <w:tcPr>
            <w:tcW w:w="12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(115,255)</w:t>
            </w:r>
          </w:p>
        </w:tc>
        <w:tc>
          <w:tcPr>
            <w:tcW w:w="175"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cash and cash equivalents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as of beginning of period</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as of end of period</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1311fd8e7df48aea4966f1a06c3da93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ALLIANCEBERNSTEIN HOLDING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March 31,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words “we” and “our” refer collectively to AllianceBernstein Holding L.P. (“AB Holding”) and AllianceBernstein L.P.  and its subsidiaries (“AB”), or to their officers and employees. Similarly, the word “company” refers to both AB Holding and AB. Where the context requires distinguishing between AB Holding and AB, we identify which of them is being discussed. These statements should be read in conjunction with the audited consolidated financial statements included in the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    Business Description, Organization and Basis of Presentation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Business Description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AB Holding’s principal source of income and cash flow is attributable to its investment in AB limited partnership interests. The condensed financial statements and notes of AB Holding should be read in conjunction with the condensed consolidated financial statements and notes of AB included as an exhibit to this quarterly report on Form 10-Q and with AB Holding’s and AB’s audited financial statements included in AB Holding’s Form 10-K for the year ended December 31, 2025.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provides diversified investment management and related services globally to a broad range of clients. Its principal services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Institutional Services </w:t>
      </w:r>
      <w:r>
        <w:rPr>
          <w:color w:val="000000"/>
        </w:rPr>
        <w:t xml:space="preserve">– </w:t>
      </w:r>
      <w:r>
        <w:rPr>
          <w:rFonts w:ascii="Times New Roman;serif" w:hAnsi="Times New Roman;serif"/>
          <w:b w:val="false"/>
          <w:color w:val="000000"/>
          <w:sz w:val="20"/>
        </w:rPr>
        <w:t>servicing its institutional clients, including private and public pension plans, foundations and endowments, insurance companies, central banks and governments worldwide, and affiliates such as Equitable Holdings, Inc. ("EQH") and its subsidiaries, by means of separately managed accounts, sub-advisory relationships, structured products, collective investment trusts, mutual funds, hedge funds and other investment vehicles.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Retail Services</w:t>
      </w:r>
      <w:r>
        <w:rPr>
          <w:color w:val="000000"/>
        </w:rPr>
        <w:t xml:space="preserve"> – </w:t>
      </w:r>
      <w:r>
        <w:rPr>
          <w:rFonts w:ascii="Times New Roman;serif" w:hAnsi="Times New Roman;serif"/>
          <w:b w:val="false"/>
          <w:color w:val="000000"/>
          <w:sz w:val="20"/>
        </w:rPr>
        <w:t>servicing its retail clients, primarily by means of retail mutual funds sponsored by AB or an affiliated company, sub-advisory relationships with mutual funds sponsored by third parties, separately managed account programs sponsored by financial intermediaries worldwide and other investment vehicles.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Private Wealth Management</w:t>
      </w:r>
      <w:r>
        <w:rPr>
          <w:color w:val="000000"/>
        </w:rPr>
        <w:t xml:space="preserve"> – </w:t>
      </w:r>
      <w:r>
        <w:rPr>
          <w:rFonts w:ascii="Times New Roman;serif" w:hAnsi="Times New Roman;serif"/>
          <w:b w:val="false"/>
          <w:color w:val="000000"/>
          <w:sz w:val="20"/>
        </w:rPr>
        <w:t>servicing its private clients, including high-net-worth individuals and families, trusts and estates, charitable foundations, partnerships, private and family corporations, and other entities, by means of separately managed accounts, hedge funds, mutual funds and other investment vehicles.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also provides distribution, shareholder servicing, transfer agency services and administrative services to certain of the mutual funds it sponsors.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AB’s high-quality, in-depth research is the foundation of our asset management and private wealth management businesses. AB’s research disciplines include economic, equity, fixed income and quantitative research. In addition, AB has expertise in multi-asset strategies, wealth management, environmental, social and corporate governance ("ESG"), and alternative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AB provides a broad range of investment services with expertise in:</w:t>
      </w:r>
    </w:p>
    <w:p>
      <w:pPr>
        <w:pStyle w:val="TextBody"/>
        <w:bidi w:val="0"/>
        <w:spacing w:before="120" w:after="283"/>
        <w:jc w:val="both"/>
        <w:rPr/>
      </w:pPr>
      <w:r>
        <w:rPr/>
      </w:r>
    </w:p>
    <w:p>
      <w:pPr>
        <w:pStyle w:val="TextBody"/>
        <w:bidi w:val="0"/>
        <w:spacing w:lineRule="auto" w:line="288" w:before="0" w:after="80"/>
        <w:ind w:left="0" w:right="0" w:hanging="360"/>
        <w:jc w:val="both"/>
        <w:rPr/>
      </w:pPr>
      <w:r>
        <w:rPr>
          <w:color w:val="000000"/>
        </w:rPr>
        <w:t>•</w:t>
      </w:r>
      <w:r>
        <w:rPr>
          <w:rFonts w:ascii="Times New Roman;serif" w:hAnsi="Times New Roman;serif"/>
          <w:b/>
          <w:color w:val="000000"/>
          <w:sz w:val="20"/>
        </w:rPr>
        <w:t>Equities,</w:t>
      </w:r>
      <w:r>
        <w:rPr>
          <w:color w:val="000000"/>
        </w:rPr>
        <w:t xml:space="preserve"> </w:t>
      </w:r>
      <w:r>
        <w:rPr>
          <w:rFonts w:ascii="Times New Roman;serif" w:hAnsi="Times New Roman;serif"/>
          <w:b w:val="false"/>
          <w:color w:val="000000"/>
          <w:sz w:val="20"/>
        </w:rPr>
        <w:t>including actively managed strategies across global and regional markets and capitalization ranges, spanning growth, value, core, defensive, thematic, and sustainable approaches, with varying degrees of active risk, concentration, and benchmark sensitivity;</w:t>
      </w:r>
    </w:p>
    <w:p>
      <w:pPr>
        <w:pStyle w:val="TextBody"/>
        <w:bidi w:val="0"/>
        <w:spacing w:lineRule="auto" w:line="288" w:before="0" w:after="80"/>
        <w:ind w:left="0" w:right="0" w:hanging="360"/>
        <w:jc w:val="both"/>
        <w:rPr/>
      </w:pPr>
      <w:r>
        <w:rPr>
          <w:color w:val="000000"/>
        </w:rPr>
        <w:t>•</w:t>
      </w:r>
      <w:r>
        <w:rPr>
          <w:rFonts w:ascii="Times New Roman;serif" w:hAnsi="Times New Roman;serif"/>
          <w:b/>
          <w:color w:val="000000"/>
          <w:sz w:val="20"/>
        </w:rPr>
        <w:t>Fixed Income</w:t>
      </w:r>
      <w:r>
        <w:rPr>
          <w:rFonts w:ascii="Times New Roman;serif" w:hAnsi="Times New Roman;serif"/>
          <w:b w:val="false"/>
          <w:color w:val="000000"/>
          <w:sz w:val="20"/>
        </w:rPr>
        <w:t>, including actively managed traditional and unconstrained strategies across taxable and tax-exempt markets, encompassing government, corporate, securitized, emerging market, and municipal securities, with a focus on income generation, risk management, liquidity, and diversification;</w:t>
      </w:r>
    </w:p>
    <w:p>
      <w:pPr>
        <w:pStyle w:val="TextBody"/>
        <w:bidi w:val="0"/>
        <w:spacing w:lineRule="auto" w:line="288" w:before="0" w:after="80"/>
        <w:ind w:left="0" w:right="0" w:hanging="360"/>
        <w:jc w:val="both"/>
        <w:rPr/>
      </w:pPr>
      <w:r>
        <w:rPr>
          <w:color w:val="000000"/>
        </w:rPr>
        <w:t>•</w:t>
      </w:r>
      <w:r>
        <w:rPr>
          <w:rFonts w:ascii="Times New Roman;serif" w:hAnsi="Times New Roman;serif"/>
          <w:b/>
          <w:color w:val="000000"/>
          <w:sz w:val="20"/>
        </w:rPr>
        <w:t>Multi-Asset Solutions</w:t>
      </w:r>
      <w:r>
        <w:rPr>
          <w:rFonts w:ascii="Times New Roman;serif" w:hAnsi="Times New Roman;serif"/>
          <w:b w:val="false"/>
          <w:color w:val="000000"/>
          <w:sz w:val="20"/>
        </w:rPr>
        <w:t>, including outcome-oriented and asset-allocation strategies such as target-date, target-risk, income, and total-return portfolios, as well as customized multi-asset solutions designed to meet specific client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1311fd8e7df48aea4966f1a06c3da93_7">
        <w:r>
          <w:rPr>
            <w:rStyle w:val="InternetLink"/>
            <w:rFonts w:ascii="Times New Roman;serif" w:hAnsi="Times New Roman;serif"/>
            <w:b w:val="false"/>
            <w:i/>
            <w:color w:val="0000FF"/>
            <w:sz w:val="16"/>
            <w:u w:val="single"/>
          </w:rPr>
          <w:t>Index</w:t>
        </w:r>
      </w:hyperlink>
    </w:p>
    <w:p>
      <w:pPr>
        <w:pStyle w:val="TextBody"/>
        <w:bidi w:val="0"/>
        <w:spacing w:lineRule="auto" w:line="288" w:before="0" w:after="80"/>
        <w:ind w:left="0" w:right="0" w:hanging="360"/>
        <w:jc w:val="both"/>
        <w:rPr/>
      </w:pPr>
      <w:r>
        <w:rPr>
          <w:color w:val="000000"/>
        </w:rPr>
        <w:t>•</w:t>
      </w:r>
      <w:r>
        <w:rPr>
          <w:rFonts w:ascii="Times New Roman;serif" w:hAnsi="Times New Roman;serif"/>
          <w:b/>
          <w:color w:val="000000"/>
          <w:sz w:val="20"/>
        </w:rPr>
        <w:t>Hedge Fund Strategies</w:t>
      </w:r>
      <w:r>
        <w:rPr>
          <w:rFonts w:ascii="Times New Roman;serif" w:hAnsi="Times New Roman;serif"/>
          <w:b w:val="false"/>
          <w:color w:val="000000"/>
          <w:sz w:val="20"/>
        </w:rPr>
        <w:t>, including fundamental and systematic hedge funds, equity market neutral, event-driven, macro, and fund-of-funds strategies, focused on delivering diversified, idiosyncratic return streams with controlled market exposure;</w:t>
      </w:r>
    </w:p>
    <w:p>
      <w:pPr>
        <w:pStyle w:val="TextBody"/>
        <w:bidi w:val="0"/>
        <w:spacing w:lineRule="auto" w:line="288" w:before="0" w:after="80"/>
        <w:ind w:left="0" w:right="0" w:hanging="360"/>
        <w:jc w:val="both"/>
        <w:rPr/>
      </w:pPr>
      <w:r>
        <w:rPr>
          <w:color w:val="000000"/>
        </w:rPr>
        <w:t>•</w:t>
      </w:r>
      <w:r>
        <w:rPr>
          <w:rFonts w:ascii="Times New Roman;serif" w:hAnsi="Times New Roman;serif"/>
          <w:b/>
          <w:color w:val="000000"/>
          <w:sz w:val="20"/>
        </w:rPr>
        <w:t>Private Alternatives</w:t>
      </w:r>
      <w:r>
        <w:rPr>
          <w:rFonts w:ascii="Times New Roman;serif" w:hAnsi="Times New Roman;serif"/>
          <w:b w:val="false"/>
          <w:color w:val="000000"/>
          <w:sz w:val="20"/>
        </w:rPr>
        <w:t>, including private credit, asset-based finance, real assets, real estate debt, and specialty finance strategies, where returns are driven by underwriting discipline, structure, selectivity, and active portfolio management rather than public market beta; and</w:t>
      </w:r>
    </w:p>
    <w:p>
      <w:pPr>
        <w:pStyle w:val="TextBody"/>
        <w:bidi w:val="0"/>
        <w:spacing w:lineRule="auto" w:line="288" w:before="0" w:after="80"/>
        <w:ind w:left="0" w:right="0" w:hanging="360"/>
        <w:jc w:val="both"/>
        <w:rPr/>
      </w:pPr>
      <w:r>
        <w:rPr>
          <w:color w:val="000000"/>
        </w:rPr>
        <w:t>•</w:t>
      </w:r>
      <w:r>
        <w:rPr>
          <w:rFonts w:ascii="Times New Roman;serif" w:hAnsi="Times New Roman;serif"/>
          <w:b/>
          <w:color w:val="000000"/>
          <w:sz w:val="20"/>
        </w:rPr>
        <w:t>Systematic Strategies</w:t>
      </w:r>
      <w:r>
        <w:rPr>
          <w:rFonts w:ascii="Times New Roman;serif" w:hAnsi="Times New Roman;serif"/>
          <w:b w:val="false"/>
          <w:color w:val="000000"/>
          <w:sz w:val="20"/>
        </w:rPr>
        <w:t>, including alpha-seeking and risk-controlled approaches that apply quantitative research, data-driven signals, and disciplined portfolio construction across equity and fixed income markets, as well as passive index, ESG index, and enhanced index solutions designed to provide efficient market exposure.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Organization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AllianceBernstein Corporation (an indirect wholly-owned subsidiary of EQH, “General Partner”) is the general partner of both AB Holding and AB. AllianceBernstein Corporation owns 100,000 general partnership units in AB Holding and a 1.0% general partnership interest in AB.</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the ownership structure of AB, expressed as a percentage of general and limited partnership interests, was as follows:</w:t>
      </w:r>
    </w:p>
    <w:tbl>
      <w:tblPr>
        <w:tblW w:w="3031" w:type="dxa"/>
        <w:jc w:val="left"/>
        <w:tblInd w:w="0" w:type="dxa"/>
        <w:tblLayout w:type="fixed"/>
        <w:tblCellMar>
          <w:top w:w="28" w:type="dxa"/>
          <w:left w:w="28" w:type="dxa"/>
          <w:bottom w:w="28" w:type="dxa"/>
          <w:right w:w="28" w:type="dxa"/>
        </w:tblCellMar>
      </w:tblPr>
      <w:tblGrid>
        <w:gridCol w:w="759"/>
        <w:gridCol w:w="668"/>
        <w:gridCol w:w="672"/>
        <w:gridCol w:w="307"/>
        <w:gridCol w:w="309"/>
        <w:gridCol w:w="316"/>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EQH and its subsidiaries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Holding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Unaffiliated holders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Including both the general partnership and limited partnership interests in AB Holding and AB, EQH and its subsidiaries had an approximate 68.0% economic interest in AB as of March 31,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interim condensed financial statements have been prepared in accordance with the instructions to Form 10-Q pursuant to the rules and regulations of the U.S. Securities and Exchange Commission (“SEC”). In the opinion of management, all adjustments, consisting only of normal recurring adjustments, necessary for a fair statement of the interim results, have been made. The preparation of the condensed financial statements requires management to make certain estimates and assumptions that affect the reported amounts of assets and liabilities and disclosure of contingent assets and liabilities at the dates of the condensed financial statements and the reported amounts of revenues and expenses during the interim reporting periods. Actual results could differ from those estimates. The condensed statement of financial condition as of December 31, 2025 was derived from audited financial statements. Certain disclosures included in the annual financial statements have been condensed or omitted from these financial statements as they are not required for interim financial statements under principles generally accepted in the United States of America ("GAAP") and the rules of the SEC.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Holding records its investment in AB using the equity method of accounting. AB Holding’s investment is increased to reflect its proportionate share of income of AB and decreased to reflect its proportionate share of losses of AB and cash distributions made by AB to its Unitholders. In addition, AB Holding's investment is adjusted to reflect its proportionate share of certain capital transactions of AB.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Subsequent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evaluated subsequent events through the date that these financial statements were filed with the SEC and did not identify any subsequent events that would require disclosure in these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1311fd8e7df48aea4966f1a06c3da93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2.    Cash Distributions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AB Holding is required to distribute all of its Available Cash Flow, as defined in the Amended and Restated Agreement of Limited Partnership of AB Holding (“AB Holding Partnership Agreement”), to its Unitholders </w:t>
      </w:r>
      <w:r>
        <w:rPr>
          <w:rFonts w:ascii="Times New Roman;serif" w:hAnsi="Times New Roman;serif"/>
          <w:b w:val="false"/>
          <w:i/>
          <w:color w:val="000000"/>
          <w:sz w:val="20"/>
        </w:rPr>
        <w:t>pro rata</w:t>
      </w:r>
      <w:r>
        <w:rPr>
          <w:color w:val="000000"/>
        </w:rPr>
        <w:t xml:space="preserve"> </w:t>
      </w:r>
      <w:r>
        <w:rPr>
          <w:rFonts w:ascii="Times New Roman;serif" w:hAnsi="Times New Roman;serif"/>
          <w:b w:val="false"/>
          <w:color w:val="000000"/>
          <w:sz w:val="20"/>
        </w:rPr>
        <w:t>in accordance with their percentage interests in AB Holding. Available Cash Flow is defined as the cash distributions AB Holding receives from AB minus such amounts as the General Partner determines, in its sole discretion, should be retained by AB Holding for use in its business (such as the payment of taxes) or plus such amounts as the General Partner determines, in its sole discretion, should be released from previously retained cash flow.</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28, 2026, the General Partner declared a distribution of $0.83 per Unit, representing a distribution of Available Cash Flow for the three months ended March 31, 2026. Each general partnership unit in AB Holding is entitled to receive distributions equal to those received by each AB Holding Unit. The distribution is payable on May 21, 2026 to holders of record at the close of business on May 8,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3.    Long-term Incentive Compensation Plans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maintains several unfunded, non-qualified long-term incentive compensation plans, under which the company grants awards of restricted AB Holding Units to its employees and members of the Board of Directors, who are not employed by AB or by any of AB’s affiliates (“Eligible Directors”).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Holding Units are maintained in a consolidated rabbi trust either by purchasing AB Holding Units on the open market or by purchasing newly-issued AB Holding Units from AB Holding until delivering them or retiring them. In accordance with the Amended and Restated Agreement of Limited Partnership of AB (“AB Partnership Agreement”), when AB purchases newly-issued AB Holding Units from AB Holding, AB Holding is required to use the proceeds it receives from AB to purchase the equivalent number of newly-issued AB Units, thus increasing its percentage ownership interest in AB. AB Holding Units held in the consolidated rabbi trust are corporate assets in the name of the trust and are available to the general creditors of AB.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Repurchases of AB Holding Units for the three months ended March 31, 2026 and 2025 consisted of the following:</w:t>
      </w:r>
    </w:p>
    <w:tbl>
      <w:tblPr>
        <w:tblW w:w="10099" w:type="dxa"/>
        <w:jc w:val="left"/>
        <w:tblInd w:w="0" w:type="dxa"/>
        <w:tblLayout w:type="fixed"/>
        <w:tblCellMar>
          <w:top w:w="28" w:type="dxa"/>
          <w:left w:w="28" w:type="dxa"/>
          <w:bottom w:w="28" w:type="dxa"/>
          <w:right w:w="28" w:type="dxa"/>
        </w:tblCellMar>
      </w:tblPr>
      <w:tblGrid>
        <w:gridCol w:w="2013"/>
        <w:gridCol w:w="1770"/>
        <w:gridCol w:w="1782"/>
        <w:gridCol w:w="109"/>
        <w:gridCol w:w="109"/>
        <w:gridCol w:w="109"/>
        <w:gridCol w:w="109"/>
        <w:gridCol w:w="109"/>
        <w:gridCol w:w="261"/>
        <w:gridCol w:w="261"/>
        <w:gridCol w:w="261"/>
        <w:gridCol w:w="261"/>
        <w:gridCol w:w="506"/>
        <w:gridCol w:w="975"/>
        <w:gridCol w:w="261"/>
        <w:gridCol w:w="109"/>
        <w:gridCol w:w="109"/>
        <w:gridCol w:w="109"/>
        <w:gridCol w:w="211"/>
        <w:gridCol w:w="511"/>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203" w:type="dxa"/>
            <w:gridSpan w:val="6"/>
            <w:tcBorders/>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2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amount of AB Holding Units Purchased/Retained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Cash Paid for AB Holding Units Purchased/Retained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Open Market Purchases of AB Holding Units Purchased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Cash Paid for Open Market Purchases of AB Holding Units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(1) Purchased on a trade date basis. The difference between open-market purchases and units retained reflects the retention of AB Holding Units from employees to fulfill statutory tax withholding requirements at the time of delivery of long-term incentive compensation awards.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quarter, AB considers whether to implement a plan to repurchase AB Holding Units pursuant to Rules 10b5-1 and 10b-18 under the Securities Exchange Act of 1934, as amended (“Exchange Act”). A plan of this type allows a company to repurchase its shares at times when it otherwise might be prevented from doing so because of self-imposed trading blackout periods or because it possesses material non-public information. Each broker selected by AB has the authority under the terms and limitations specified in the plan to repurchase AB Holding Units on AB’s behalf. Repurchases are subject to regulations promulgated by the SEC as well as certain price, market volume and timing constraints specified in the plan. The plan adopted during the first quarter of 2026 expired at the close of business on April 27, 2026. AB may adopt additional plans in the future to engage in open-market purchases of AB Holding Units for anticipated obligations under its incentive compensation award program and for other corporate purposes.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three months of 2026 and 2025, AB awarded to employees and Eligible Directors 1.4 million and 1.0 million restricted AB Holding Unit awards, respectively. AB used AB Holding Units repurchased during the applicable period and newly-issued AB Holding Units for these restricted AB Holding Unit awards.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1311fd8e7df48aea4966f1a06c3da93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4.    Net Income per Unit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per Unit is derived by dividing net income by the weighted average number of Units outstanding for each period. Diluted net income per Unit is equivalent to net income per Unit, as there are no outstanding instruments that have a dilutive effect.</w:t>
      </w:r>
    </w:p>
    <w:tbl>
      <w:tblPr>
        <w:tblW w:w="7080" w:type="dxa"/>
        <w:jc w:val="left"/>
        <w:tblInd w:w="0" w:type="dxa"/>
        <w:tblLayout w:type="fixed"/>
        <w:tblCellMar>
          <w:top w:w="28" w:type="dxa"/>
          <w:left w:w="28" w:type="dxa"/>
          <w:bottom w:w="28" w:type="dxa"/>
          <w:right w:w="28" w:type="dxa"/>
        </w:tblCellMar>
      </w:tblPr>
      <w:tblGrid>
        <w:gridCol w:w="1105"/>
        <w:gridCol w:w="971"/>
        <w:gridCol w:w="983"/>
        <w:gridCol w:w="109"/>
        <w:gridCol w:w="109"/>
        <w:gridCol w:w="109"/>
        <w:gridCol w:w="109"/>
        <w:gridCol w:w="109"/>
        <w:gridCol w:w="138"/>
        <w:gridCol w:w="146"/>
        <w:gridCol w:w="146"/>
        <w:gridCol w:w="146"/>
        <w:gridCol w:w="284"/>
        <w:gridCol w:w="972"/>
        <w:gridCol w:w="146"/>
        <w:gridCol w:w="115"/>
        <w:gridCol w:w="115"/>
        <w:gridCol w:w="115"/>
        <w:gridCol w:w="224"/>
        <w:gridCol w:w="766"/>
        <w:gridCol w:w="163"/>
      </w:tblGrid>
      <w:tr>
        <w:trPr/>
        <w:tc>
          <w:tcPr>
            <w:tcW w:w="110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498" w:type="dxa"/>
            <w:gridSpan w:val="6"/>
            <w:tcBorders/>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33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unit amounts)</w:t>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85,238 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units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92,505 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0.92</w:t>
            </w:r>
            <w:r>
              <w:rPr>
                <w:color w:val="000000"/>
              </w:rPr>
              <w:t> </w:t>
            </w:r>
          </w:p>
        </w:tc>
        <w:tc>
          <w:tcPr>
            <w:tcW w:w="1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0.67</w:t>
            </w:r>
            <w:r>
              <w:rPr>
                <w:color w:val="000000"/>
              </w:rPr>
              <w:t> </w:t>
            </w:r>
          </w:p>
        </w:tc>
        <w:tc>
          <w:tcPr>
            <w:tcW w:w="1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Investment in AB</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AB Holding’s investment in AB during the three-month period ended March 31, 2026 are as follows (in thousands):</w:t>
      </w:r>
    </w:p>
    <w:p>
      <w:pPr>
        <w:pStyle w:val="TextBody"/>
        <w:bidi w:val="0"/>
        <w:spacing w:before="0" w:after="0"/>
        <w:jc w:val="both"/>
        <w:rPr/>
      </w:pPr>
      <w:r>
        <w:rPr/>
      </w:r>
    </w:p>
    <w:tbl>
      <w:tblPr>
        <w:tblW w:w="8390" w:type="dxa"/>
        <w:jc w:val="left"/>
        <w:tblInd w:w="0" w:type="dxa"/>
        <w:tblLayout w:type="fixed"/>
        <w:tblCellMar>
          <w:top w:w="28" w:type="dxa"/>
          <w:left w:w="28" w:type="dxa"/>
          <w:bottom w:w="28" w:type="dxa"/>
          <w:right w:w="28" w:type="dxa"/>
        </w:tblCellMar>
      </w:tblPr>
      <w:tblGrid>
        <w:gridCol w:w="2550"/>
        <w:gridCol w:w="2240"/>
        <w:gridCol w:w="2244"/>
        <w:gridCol w:w="211"/>
        <w:gridCol w:w="991"/>
        <w:gridCol w:w="154"/>
      </w:tblGrid>
      <w:tr>
        <w:trPr/>
        <w:tc>
          <w:tcPr>
            <w:tcW w:w="255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AB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attributable to AB Unitholders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income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received from AB</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(from) AB</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Holding Units (retired)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Holding Units issued for long-term incentive compensation plans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AB Holding Units held by AB for long-term incentive compensation plans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in AB as of March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1,261,074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6. Units Outstanding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AB Holding Units outstanding during the three-month period ended March 31, 2026 are as follows:</w:t>
      </w:r>
    </w:p>
    <w:p>
      <w:pPr>
        <w:pStyle w:val="TextBody"/>
        <w:bidi w:val="0"/>
        <w:spacing w:before="0" w:after="0"/>
        <w:jc w:val="left"/>
        <w:rPr/>
      </w:pPr>
      <w:r>
        <w:rPr/>
      </w:r>
    </w:p>
    <w:tbl>
      <w:tblPr>
        <w:tblW w:w="4415" w:type="dxa"/>
        <w:jc w:val="left"/>
        <w:tblInd w:w="0" w:type="dxa"/>
        <w:tblLayout w:type="fixed"/>
        <w:tblCellMar>
          <w:top w:w="28" w:type="dxa"/>
          <w:left w:w="28" w:type="dxa"/>
          <w:bottom w:w="28" w:type="dxa"/>
          <w:right w:w="28" w:type="dxa"/>
        </w:tblCellMar>
      </w:tblPr>
      <w:tblGrid>
        <w:gridCol w:w="1147"/>
        <w:gridCol w:w="1006"/>
        <w:gridCol w:w="1012"/>
        <w:gridCol w:w="547"/>
        <w:gridCol w:w="549"/>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92,284,367 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issued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retired</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as of March 31, 2026</w:t>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93,403,853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7.    Income Taxes</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AB Holding is a publicly-traded partnership ("PTP") for federal tax purposes and, accordingly, is not subject to federal or state corporate income taxes. However, AB Holding is subject to the 4.0% New York City Unincorporated Business Tax (“UBT”), net of credits for UBT paid by AB, and to a 3.5% federal tax on partnership gross income from the active conduct of a trade or business. AB Holding’s partnership gross income is derived from its interest in AB.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AB Holding’s federal income tax is computed by multiplying certain AB qualifying revenues by AB Holding’s ownership interest in AB, multiplied by the </w:t>
      </w:r>
      <w:r>
        <w:rPr>
          <w:rFonts w:ascii="Times New Roman;serif" w:hAnsi="Times New Roman;serif"/>
          <w:b w:val="false"/>
          <w:color w:val="000000"/>
          <w:sz w:val="18"/>
        </w:rPr>
        <w:t>3.5%</w:t>
      </w:r>
      <w:r>
        <w:rPr>
          <w:color w:val="000000"/>
        </w:rPr>
        <w:t xml:space="preserve"> </w:t>
      </w:r>
      <w:r>
        <w:rPr>
          <w:rFonts w:ascii="Times New Roman;serif" w:hAnsi="Times New Roman;serif"/>
          <w:b w:val="false"/>
          <w:color w:val="000000"/>
          <w:sz w:val="20"/>
        </w:rPr>
        <w:t>tax rate. Certain AB qualifying revenues are primarily U.S. investment advisory fees. AB Holding Units in AB’s consolidated rabbi trust are not considered outstanding for purposes of calculating AB Holding’s ownership interest in AB.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1311fd8e7df48aea4966f1a06c3da93_7">
        <w:r>
          <w:rPr>
            <w:rStyle w:val="InternetLink"/>
            <w:rFonts w:ascii="Times New Roman;serif" w:hAnsi="Times New Roman;serif"/>
            <w:b w:val="false"/>
            <w:i/>
            <w:color w:val="0000FF"/>
            <w:sz w:val="16"/>
            <w:u w:val="single"/>
          </w:rPr>
          <w:t>Index</w:t>
        </w:r>
      </w:hyperlink>
    </w:p>
    <w:tbl>
      <w:tblPr>
        <w:tblW w:w="10205" w:type="dxa"/>
        <w:jc w:val="left"/>
        <w:tblInd w:w="0" w:type="dxa"/>
        <w:tblLayout w:type="fixed"/>
        <w:tblCellMar>
          <w:top w:w="28" w:type="dxa"/>
          <w:left w:w="28" w:type="dxa"/>
          <w:bottom w:w="28" w:type="dxa"/>
          <w:right w:w="28" w:type="dxa"/>
        </w:tblCellMar>
      </w:tblPr>
      <w:tblGrid>
        <w:gridCol w:w="2115"/>
        <w:gridCol w:w="1793"/>
        <w:gridCol w:w="1803"/>
        <w:gridCol w:w="211"/>
        <w:gridCol w:w="826"/>
        <w:gridCol w:w="301"/>
        <w:gridCol w:w="109"/>
        <w:gridCol w:w="109"/>
        <w:gridCol w:w="109"/>
        <w:gridCol w:w="211"/>
        <w:gridCol w:w="826"/>
        <w:gridCol w:w="301"/>
        <w:gridCol w:w="109"/>
        <w:gridCol w:w="109"/>
        <w:gridCol w:w="109"/>
        <w:gridCol w:w="262"/>
        <w:gridCol w:w="264"/>
        <w:gridCol w:w="638"/>
      </w:tblGrid>
      <w:tr>
        <w:trPr/>
        <w:tc>
          <w:tcPr>
            <w:tcW w:w="2115"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5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5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AB Unitholders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295,485 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220,799 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Multiplied by: weighted average equity ownership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attributable to AB Unitholders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92,255 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82,753 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6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qualifying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772,530 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700,770 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6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Multiplied by: weighted average equity ownership interest for calculating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Multiplied by: federal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6,867 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8,486 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income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7,017</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8,719</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(19.5</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5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Effective tax rate</w:t>
            </w:r>
          </w:p>
        </w:tc>
        <w:tc>
          <w:tcPr>
            <w:tcW w:w="103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w:t>
            </w:r>
            <w:r>
              <w:rPr>
                <w:color w:val="000000"/>
              </w:rPr>
              <w:t> </w:t>
            </w:r>
          </w:p>
        </w:tc>
        <w:tc>
          <w:tcPr>
            <w:tcW w:w="3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3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preserve AB Holding’s status as a PTP for federal income tax purposes, management ensures that AB Holding does not directly or indirectly (through AB) enter into a substantial new line of business. If AB Holding were to lose or surrender its status as a PTP, it would be subject to corporate income tax, which would reduce materially AB Holding’s net income and its quarterly distributions to AB Holding Unitholders.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Legal and regulatory matters described below pertain to AB and are included here due to their potential significance to AB Holding’s investment in AB.</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significant litigation matters, we assess the likelihood of a negative outcome. If a negative outcome is probable and the loss can be reasonably estimated, we record an estimated loss. If a negative outcome is reasonably possible and we can estimate the potential loss or range of loss, or if a negative outcome is probable and we can estimate the potential loss or range of loss beyond any amounts already accrued, we disclose this information. However, predicting outcomes or estimating losses is often challenging due to litigation uncertainties, especially in early stages or complex cases. In such instances, we disclose our inability to predict the outcome or estimate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may face regulatory inquiries, administrative proceedings, and litigation, some alleging significant damages. While it is possible we could incur losses from these matters, we cannot currently estimate such losses or their range. Management, after consulting with legal counsel, believes that the outcome of any individual or combined matters will not materially affect our operations, financial condition, or liquidity. However, due to inherent uncertainties, future developments could potentially have a material adverse effect on our results, financial condition, or liquidity in future reporting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1311fd8e7df48aea4966f1a06c3da93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ind w:left="0" w:right="0" w:hanging="1080"/>
        <w:jc w:val="left"/>
        <w:rPr/>
      </w:pPr>
      <w:r>
        <w:rPr>
          <w:rFonts w:ascii="Times New Roman;serif" w:hAnsi="Times New Roman;serif"/>
          <w:b/>
          <w:color w:val="000000"/>
          <w:sz w:val="20"/>
        </w:rPr>
        <w:t>Item 2.    </w:t>
      </w:r>
      <w:r>
        <w:rPr>
          <w:rFonts w:ascii="Times New Roman;serif" w:hAnsi="Times New Roman;serif"/>
          <w:b/>
          <w:color w:val="000000"/>
          <w:sz w:val="20"/>
          <w:u w:val="single"/>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Holding’s principal source of income and cash flow is attributable to its investment in AB Units. AB Holding’s interim condensed financial statements and notes and management’s discussion and analysis of financial condition and results of operations (“MD&amp;A”) should be read in conjunction with those of AB included as an exhibit to this Form 10-Q. They also should be read in conjunction with AB’s audited financial statements and notes and MD&amp;A included in AB Holding’s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Results of Operations</w:t>
      </w:r>
    </w:p>
    <w:tbl>
      <w:tblPr>
        <w:tblW w:w="10205" w:type="dxa"/>
        <w:jc w:val="left"/>
        <w:tblInd w:w="0" w:type="dxa"/>
        <w:tblLayout w:type="fixed"/>
        <w:tblCellMar>
          <w:top w:w="28" w:type="dxa"/>
          <w:left w:w="28" w:type="dxa"/>
          <w:bottom w:w="28" w:type="dxa"/>
          <w:right w:w="28" w:type="dxa"/>
        </w:tblCellMar>
      </w:tblPr>
      <w:tblGrid>
        <w:gridCol w:w="1346"/>
        <w:gridCol w:w="1178"/>
        <w:gridCol w:w="1185"/>
        <w:gridCol w:w="109"/>
        <w:gridCol w:w="109"/>
        <w:gridCol w:w="109"/>
        <w:gridCol w:w="109"/>
        <w:gridCol w:w="109"/>
        <w:gridCol w:w="109"/>
        <w:gridCol w:w="109"/>
        <w:gridCol w:w="161"/>
        <w:gridCol w:w="161"/>
        <w:gridCol w:w="161"/>
        <w:gridCol w:w="161"/>
        <w:gridCol w:w="312"/>
        <w:gridCol w:w="1223"/>
        <w:gridCol w:w="401"/>
        <w:gridCol w:w="109"/>
        <w:gridCol w:w="109"/>
        <w:gridCol w:w="109"/>
        <w:gridCol w:w="211"/>
        <w:gridCol w:w="826"/>
        <w:gridCol w:w="271"/>
        <w:gridCol w:w="109"/>
        <w:gridCol w:w="109"/>
        <w:gridCol w:w="109"/>
        <w:gridCol w:w="285"/>
        <w:gridCol w:w="288"/>
        <w:gridCol w:w="618"/>
      </w:tblGrid>
      <w:tr>
        <w:trPr/>
        <w:tc>
          <w:tcPr>
            <w:tcW w:w="134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3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57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unit amounts)</w:t>
            </w:r>
          </w:p>
        </w:tc>
      </w:tr>
      <w:tr>
        <w:trPr/>
        <w:tc>
          <w:tcPr>
            <w:tcW w:w="3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AB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295,485 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equity ownership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attributable to AB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92,255 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of AB Holding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85,238 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74,034 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AB Holding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40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Distribution per AB Holding Unit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4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18"/>
        </w:rPr>
        <w:t>Distributions reflect the impact of AB’s non-GAAP adjustments.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Holding's net income for the three months ended March 31, 2026 increased $11.2 million, compared to the three months ended March 31, 2025, primarily due to higher net income attributable to AB Unitholders, partially offset by lower weighted average equity ownership interest in AB.</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AB Holding’s partnership gross income is derived from its interest in AB. AB Holding’s income taxes, which reflect a 3.5% federal tax on its partnership gross income from the active conduct of a trade or business, are computed by multiplying AB qualifying revenues by AB Holding’s ownership interest in AB, multiplied by the 3.5% tax rate. AB qualifying revenues are primarily U.S. investment advisory fees. AB Holding's effective tax rate was 7.6% during the three months ended March 31, 2026 and 10.5% during the three months ended March 31, 2025. </w:t>
      </w:r>
      <w:r>
        <w:rPr>
          <w:rFonts w:ascii="Times New Roman;serif" w:hAnsi="Times New Roman;serif"/>
          <w:b w:val="false"/>
          <w:i/>
          <w:color w:val="000000"/>
          <w:sz w:val="20"/>
        </w:rPr>
        <w:t>See Note 7</w:t>
      </w:r>
      <w:r>
        <w:rPr>
          <w:color w:val="000000"/>
        </w:rPr>
        <w:t xml:space="preserve"> </w:t>
      </w:r>
      <w:r>
        <w:rPr>
          <w:rFonts w:ascii="Times New Roman;serif" w:hAnsi="Times New Roman;serif"/>
          <w:b w:val="false"/>
          <w:i/>
          <w:color w:val="000000"/>
          <w:sz w:val="20"/>
        </w:rPr>
        <w:t>to the condensed financial statements in Item 1</w:t>
      </w:r>
      <w:r>
        <w:rPr>
          <w:color w:val="000000"/>
        </w:rPr>
        <w:t xml:space="preserve"> </w:t>
      </w:r>
      <w:r>
        <w:rPr>
          <w:rFonts w:ascii="Times New Roman;serif" w:hAnsi="Times New Roman;serif"/>
          <w:b w:val="false"/>
          <w:color w:val="000000"/>
          <w:sz w:val="20"/>
        </w:rPr>
        <w:t xml:space="preserve">for the calculation of income tax expense.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Management Operating Metrics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supplemental information, AB provides the performance measures “adjusted net revenues,” “adjusted operating income” and “adjusted operating margin,” which are additional operating metrics management uses in evaluating and comparing the period-to-period operating performance of AB. Management uses these additional metrics in evaluating performance because they present a clearer picture of AB's operating performance and allow management to see long-term trends without the distortion primarily caused by long-term incentive compensation-related mark-to-market adjustments, acquisition-related expenses, interest expense and other adjustment items. Similarly, management believes that these management operating metrics help investors better understand the underlying trends in AB's results and, accordingly, provide a valuable perspective for investors. Such measures are not based on generally accepted accounting principles (“non-GAAP measures”).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provide the non-GAAP measures "adjusted net income" and "adjusted net income per unit" because our quarterly distribution per unit is typically our adjusted net income per unit (which is derived from adjusted net income).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These non-GAAP measures are provided in addition to, and not as substitutes for, net revenues, operating income and operating margin, and they may not be comparable to non-GAAP measures presented by other companies. Management uses both GAAP and non-GAAP measures in evaluating the company’s financial performance. The non-GAAP measures alone may pose limitations because they do not include all of AB’s revenues and expenses. Further, adjusted net income per AB Holding Unit is not a liquidity measure and should not be used in place of cash flow measures. </w:t>
      </w:r>
      <w:r>
        <w:rPr>
          <w:rFonts w:ascii="Times New Roman;serif" w:hAnsi="Times New Roman;serif"/>
          <w:b w:val="false"/>
          <w:i/>
          <w:color w:val="000000"/>
          <w:sz w:val="20"/>
        </w:rPr>
        <w:t>See AB’s MD&amp;A contained in Exhibit 99.1</w:t>
      </w:r>
      <w:r>
        <w:rPr>
          <w:rFonts w:ascii="Times New Roman;serif" w:hAnsi="Times New Roman;serif"/>
          <w:b w:val="false"/>
          <w:color w:val="000000"/>
          <w:sz w:val="2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1311fd8e7df48aea4966f1a06c3da93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impact of these adjustments on AB Holding’s net income and net income per AB Holding Unit is as follows:</w:t>
      </w:r>
    </w:p>
    <w:tbl>
      <w:tblPr>
        <w:tblW w:w="10205" w:type="dxa"/>
        <w:jc w:val="left"/>
        <w:tblInd w:w="0" w:type="dxa"/>
        <w:tblLayout w:type="fixed"/>
        <w:tblCellMar>
          <w:top w:w="28" w:type="dxa"/>
          <w:left w:w="28" w:type="dxa"/>
          <w:bottom w:w="28" w:type="dxa"/>
          <w:right w:w="28" w:type="dxa"/>
        </w:tblCellMar>
      </w:tblPr>
      <w:tblGrid>
        <w:gridCol w:w="2012"/>
        <w:gridCol w:w="1767"/>
        <w:gridCol w:w="1772"/>
        <w:gridCol w:w="109"/>
        <w:gridCol w:w="109"/>
        <w:gridCol w:w="109"/>
        <w:gridCol w:w="174"/>
        <w:gridCol w:w="174"/>
        <w:gridCol w:w="174"/>
        <w:gridCol w:w="174"/>
        <w:gridCol w:w="338"/>
        <w:gridCol w:w="1277"/>
        <w:gridCol w:w="435"/>
        <w:gridCol w:w="109"/>
        <w:gridCol w:w="109"/>
        <w:gridCol w:w="109"/>
        <w:gridCol w:w="211"/>
        <w:gridCol w:w="721"/>
        <w:gridCol w:w="322"/>
      </w:tblGrid>
      <w:tr>
        <w:trPr/>
        <w:tc>
          <w:tcPr>
            <w:tcW w:w="2012"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5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581" w:type="dxa"/>
            <w:gridSpan w:val="6"/>
            <w:tcBorders/>
          </w:tcPr>
          <w:p>
            <w:pPr>
              <w:pStyle w:val="TableContents"/>
              <w:bidi w:val="0"/>
              <w:spacing w:before="0" w:after="283"/>
              <w:jc w:val="left"/>
              <w:rPr>
                <w:sz w:val="4"/>
                <w:szCs w:val="4"/>
              </w:rPr>
            </w:pPr>
            <w:r>
              <w:rPr>
                <w:sz w:val="4"/>
                <w:szCs w:val="4"/>
              </w:rPr>
            </w:r>
          </w:p>
        </w:tc>
      </w:tr>
      <w:tr>
        <w:trPr/>
        <w:tc>
          <w:tcPr>
            <w:tcW w:w="5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15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Unit amounts)</w:t>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AB non-GAAP adjustments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(29,676)</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income tax benefit (expense) on 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non-GAAP adjustments, after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(27,295)</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37,695 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Holding’s weighted average equity ownership interest in 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Impact on AB Holding’s net income of AB non-GAAP adjustments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14,128 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GAAP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85,238 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74,034 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on AB Holding’s net income of AB 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76,716 </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88,162 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AB Holding Unit, GAAP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0.92</w:t>
            </w:r>
            <w:r>
              <w:rPr>
                <w:color w:val="000000"/>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0.67</w:t>
            </w: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AB 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per AB Holding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0.83</w:t>
            </w:r>
            <w:r>
              <w:rPr>
                <w:color w:val="000000"/>
              </w:rPr>
              <w:t> </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0.80</w:t>
            </w:r>
            <w:r>
              <w:rPr>
                <w:color w:val="000000"/>
              </w:rPr>
              <w:t>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18"/>
        </w:rPr>
        <w:t>Includes all AB non-GAAP adjustments to pre-tax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degree to which AB's non-GAAP adjustments impact AB Holding's net income fluctuates based on AB Holding's ownership percentage in AB.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Distributions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AB Holding is required to distribute all of its Available Cash Flow, as defined in the AB Holding Partnership Agreement, to its Unitholders (including the General Partner). Available Cash Flow typically is the adjusted net income per Unit for the quarter multiplied by the number of Units outstanding at the end of the quarter. Management anticipates that Available Cash Flow will continue to be based on adjusted net income per Unit. If management determines, with the concurrence of the Board of Directors, that certain adjustments to Available Cash Flow are necessary or unnecessary, such adjustments will be made in future periods. </w:t>
      </w:r>
      <w:r>
        <w:rPr>
          <w:rFonts w:ascii="Times New Roman;serif" w:hAnsi="Times New Roman;serif"/>
          <w:b w:val="false"/>
          <w:i/>
          <w:color w:val="000000"/>
          <w:sz w:val="20"/>
        </w:rPr>
        <w:t>See Note 2 to the condensed financial statements in Item 1</w:t>
      </w:r>
      <w:r>
        <w:rPr>
          <w:color w:val="000000"/>
        </w:rPr>
        <w:t xml:space="preserve"> </w:t>
      </w:r>
      <w:r>
        <w:rPr>
          <w:rFonts w:ascii="Times New Roman;serif" w:hAnsi="Times New Roman;serif"/>
          <w:b w:val="false"/>
          <w:color w:val="000000"/>
          <w:sz w:val="20"/>
        </w:rPr>
        <w:t>for a description of Available Cash Flow.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Capital Resources and Liquidity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net cash provided by operating activities was $88.5 million, compared to $115.3 million during the corresponding 2025 period. The decrease primarily resulted from lower cash distributions received from AB of $30.1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net cash used in financing activities was $88.5 million, compared to $115.3 million during the corresponding 2025 period. The decrease was primarily due to lower cash distributions to Unitholders of $27.4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believes that AB Holding will have the resources it needs to meet its financial obligations as a result of the cash flow AB Holding realizes from its investment in AB. AB Holding’s cash inflow is comprised entirely of distributions from AB. These distributions are subsequently distributed (net of taxes paid) in their entirety to AB Holding’s Unitholders. As a result, AB Holding has no liquidity risk as it only pays distributions to AB Holding’s Unitholders to the extent of distributions received from AB (net of taxes paid).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Commitments and Contingencies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See Note 8 to the condensed financial statements in Item 1</w:t>
      </w:r>
      <w:r>
        <w:rPr>
          <w:rFonts w:ascii="Times New Roman;serif" w:hAnsi="Times New Roman;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1311fd8e7df48aea4966f1a06c3da93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CAUTIONS REGARDING FORWARD-LOOKING STATEMENTS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Certain statements provided by management in this report and in the portion of AB’s Form 10-Q attached hereto as </w:t>
      </w:r>
      <w:r>
        <w:rPr>
          <w:rFonts w:ascii="Times New Roman;serif" w:hAnsi="Times New Roman;serif"/>
          <w:b w:val="false"/>
          <w:i/>
          <w:color w:val="000000"/>
          <w:sz w:val="20"/>
        </w:rPr>
        <w:t>Exhibit 99.1</w:t>
      </w:r>
      <w:r>
        <w:rPr>
          <w:color w:val="000000"/>
        </w:rPr>
        <w:t xml:space="preserve"> </w:t>
      </w:r>
      <w:r>
        <w:rPr>
          <w:rFonts w:ascii="Times New Roman;serif" w:hAnsi="Times New Roman;serif"/>
          <w:b w:val="false"/>
          <w:color w:val="000000"/>
          <w:sz w:val="20"/>
        </w:rPr>
        <w:t>are “forward-looking statements” within the meaning of the Private Securities Litigation Reform Act of 1995. Such forward-looking statements are subject to risks, uncertainties and other factors that could cause actual results to differ materially from future results expressed or implied by such forward-looking statements. The most significant of these factors include, but are not limited to, the following: the performance of financial markets, the investment performance of sponsored investment products and separately managed accounts, general economic conditions, the impact of tariffs and potential disruptions in international trade on financial markets, product and account performance, asset levels and economic conditions, industry trends, future acquisitions, integration of acquired companies, competitive conditions and government regulations, including changes in tax regulations and rates and the manner in which the earnings of publicly-traded partnerships are taxed. We caution readers to carefully consider such factors. Further, these forward-looking statements speak only as of the date on which such statements are made; we undertake no obligation to update any forward-looking statements to reflect events or circumstances after the date of such statements. For further information regarding these forward-looking statements and the factors that could cause actual results to differ,</w:t>
      </w:r>
      <w:r>
        <w:rPr>
          <w:color w:val="000000"/>
        </w:rPr>
        <w:t> </w:t>
      </w:r>
      <w:r>
        <w:rPr>
          <w:rFonts w:ascii="Times New Roman;serif" w:hAnsi="Times New Roman;serif"/>
          <w:b w:val="false"/>
          <w:i/>
          <w:color w:val="000000"/>
          <w:sz w:val="20"/>
        </w:rPr>
        <w:t>see “Risk Factors” in Part I, Item 1A</w:t>
      </w:r>
      <w:r>
        <w:rPr>
          <w:color w:val="000000"/>
        </w:rPr>
        <w:t xml:space="preserve"> </w:t>
      </w:r>
      <w:r>
        <w:rPr>
          <w:rFonts w:ascii="Times New Roman;serif" w:hAnsi="Times New Roman;serif"/>
          <w:b w:val="false"/>
          <w:color w:val="000000"/>
          <w:sz w:val="20"/>
        </w:rPr>
        <w:t xml:space="preserve">of our Form 10-K for the year ended December 31, 2025 </w:t>
      </w:r>
      <w:r>
        <w:rPr>
          <w:rFonts w:ascii="Times New Roman;serif" w:hAnsi="Times New Roman;serif"/>
          <w:b w:val="false"/>
          <w:i/>
          <w:color w:val="000000"/>
          <w:sz w:val="20"/>
        </w:rPr>
        <w:t>and Part II, Item 1A</w:t>
      </w:r>
      <w:r>
        <w:rPr>
          <w:color w:val="000000"/>
        </w:rPr>
        <w:t> </w:t>
      </w:r>
      <w:r>
        <w:rPr>
          <w:rFonts w:ascii="Times New Roman;serif" w:hAnsi="Times New Roman;serif"/>
          <w:b w:val="false"/>
          <w:color w:val="000000"/>
          <w:sz w:val="20"/>
        </w:rPr>
        <w:t xml:space="preserve">in this Form 10-Q. Any or all of the forward-looking statements that we make in our Form 10-K, this Form 10-Q, other documents we file with or furnish to the SEC, and any other public statements we issue, may turn out to be wrong. It is important to remember that other factors besides </w:t>
      </w:r>
      <w:r>
        <w:rPr>
          <w:rFonts w:ascii="Times New Roman;serif" w:hAnsi="Times New Roman;serif"/>
          <w:b w:val="false"/>
          <w:i/>
          <w:color w:val="000000"/>
          <w:sz w:val="20"/>
        </w:rPr>
        <w:t>those listed in “Risk Factors” and those listed below</w:t>
      </w:r>
      <w:r>
        <w:rPr>
          <w:color w:val="000000"/>
        </w:rPr>
        <w:t xml:space="preserve"> </w:t>
      </w:r>
      <w:r>
        <w:rPr>
          <w:rFonts w:ascii="Times New Roman;serif" w:hAnsi="Times New Roman;serif"/>
          <w:b w:val="false"/>
          <w:color w:val="000000"/>
          <w:sz w:val="20"/>
        </w:rPr>
        <w:t>could also adversely impact our revenues, financial condition, results of operations and business prospects.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forward-looking statements referred to in </w:t>
      </w:r>
      <w:r>
        <w:rPr>
          <w:rFonts w:ascii="Times New Roman;serif" w:hAnsi="Times New Roman;serif"/>
          <w:b w:val="false"/>
          <w:i/>
          <w:color w:val="000000"/>
          <w:sz w:val="20"/>
        </w:rPr>
        <w:t>the preceding paragraph</w:t>
      </w:r>
      <w:r>
        <w:rPr>
          <w:rFonts w:ascii="Times New Roman;serif" w:hAnsi="Times New Roman;serif"/>
          <w:b w:val="false"/>
          <w:color w:val="000000"/>
          <w:sz w:val="20"/>
        </w:rPr>
        <w:t>, most of which directly affect AB and may also affect AB Holding because AB Holding’s principal source of income and cash flow is attributable to its investment in AB, include statements regarding: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u w:val="single"/>
        </w:rPr>
        <w:t>Our belief that the cash flow AB Holding realizes from its investment in AB will provide AB Holding with the resources it needs to meet its financial obligations:</w:t>
      </w:r>
      <w:r>
        <w:rPr>
          <w:color w:val="000000"/>
        </w:rPr>
        <w:t xml:space="preserve"> </w:t>
      </w:r>
      <w:r>
        <w:rPr>
          <w:rFonts w:ascii="Times New Roman;serif" w:hAnsi="Times New Roman;serif"/>
          <w:b w:val="false"/>
          <w:color w:val="000000"/>
          <w:sz w:val="20"/>
        </w:rPr>
        <w:t>AB Holding’s cash flow is dependent on the quarterly cash distributions it receives from AB. Accordingly, AB Holding’s ability to meet its financial obligations is dependent on AB’s cash flow from its operations, which is subject to the performance of the capital markets and other factors beyond our control.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u w:val="single"/>
        </w:rPr>
        <w:t>Our financial condition and ability to access the public and private capital markets providing adequate liquidity for our general business needs:</w:t>
      </w:r>
      <w:r>
        <w:rPr>
          <w:color w:val="000000"/>
        </w:rPr>
        <w:t xml:space="preserve"> </w:t>
      </w:r>
      <w:r>
        <w:rPr>
          <w:rFonts w:ascii="Times New Roman;serif" w:hAnsi="Times New Roman;serif"/>
          <w:b w:val="false"/>
          <w:color w:val="000000"/>
          <w:sz w:val="20"/>
        </w:rPr>
        <w:t>Our financial condition is dependent on our cash flow from operations, which is subject to the performance of the capital markets, our ability to maintain and grow client assets under management and other factors beyond our control. Our ability to access public and private capital markets on reasonable terms may be limited by adverse market conditions, our firm’s credit ratings, our profitability and changes in government regulations, including tax rates and interest rates.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u w:val="single"/>
        </w:rPr>
        <w:t>The outcome of litigation:</w:t>
      </w:r>
      <w:r>
        <w:rPr>
          <w:color w:val="000000"/>
        </w:rPr>
        <w:t xml:space="preserve"> </w:t>
      </w:r>
      <w:r>
        <w:rPr>
          <w:rFonts w:ascii="Times New Roman;serif" w:hAnsi="Times New Roman;serif"/>
          <w:b w:val="false"/>
          <w:color w:val="000000"/>
          <w:sz w:val="20"/>
        </w:rPr>
        <w:t>Litigation is inherently unpredictable and excessive damage awards do occur. Though we have stated that we do not expect any pending legal proceedings to have a material adverse effect on our results of operations, financial condition or liquidity, any settlement or judgment with respect to a legal proceeding could be significant and could have such an effect.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u w:val="single"/>
        </w:rPr>
        <w:t>The possibility that we will engage in open market purchases of AB Holding Units for anticipated obligations under our incentive compensation award program:</w:t>
      </w:r>
      <w:r>
        <w:rPr>
          <w:color w:val="000000"/>
        </w:rPr>
        <w:t xml:space="preserve"> </w:t>
      </w:r>
      <w:r>
        <w:rPr>
          <w:rFonts w:ascii="Times New Roman;serif" w:hAnsi="Times New Roman;serif"/>
          <w:b w:val="false"/>
          <w:color w:val="000000"/>
          <w:sz w:val="20"/>
        </w:rPr>
        <w:t>The number of AB Holding Units AB may decide to buy in future periods, if any, for incentive compensation awards depends on various factors, some of which are beyond our control, including the fluctuation in the price of an AB Holding Unit (NYSE: AB) and the availability of cash to make these purchases.</w:t>
      </w:r>
    </w:p>
    <w:p>
      <w:pPr>
        <w:pStyle w:val="TextBody"/>
        <w:bidi w:val="0"/>
        <w:spacing w:before="0" w:after="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u w:val="single"/>
        </w:rPr>
        <w:t>Our determination that adjusted employee compensation expense, excluding the impact of performance-based fees, generally should not exceed 50% of our adjusted net revenues on an annual basis:</w:t>
      </w:r>
      <w:r>
        <w:rPr>
          <w:color w:val="000000"/>
        </w:rPr>
        <w:t xml:space="preserve"> </w:t>
      </w:r>
      <w:r>
        <w:rPr>
          <w:rFonts w:ascii="Times New Roman;serif" w:hAnsi="Times New Roman;serif"/>
          <w:b w:val="false"/>
          <w:color w:val="000000"/>
          <w:sz w:val="20"/>
        </w:rPr>
        <w:t>Aggregate employee compensation reflects employee performance and competitive compensation levels.  Fluctuations in our revenues and/or changes in competitive compensation levels could result in adjusted employee compensation expense exceeding 50% of our adjusted net revenues.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u w:val="single"/>
        </w:rPr>
        <w:t>Our initiative to replace our investment management technology:</w:t>
      </w:r>
      <w:r>
        <w:rPr>
          <w:color w:val="000000"/>
        </w:rPr>
        <w:t xml:space="preserve"> </w:t>
      </w:r>
      <w:r>
        <w:rPr>
          <w:rFonts w:ascii="Times New Roman;serif" w:hAnsi="Times New Roman;serif"/>
          <w:b w:val="false"/>
          <w:color w:val="000000"/>
          <w:sz w:val="20"/>
        </w:rPr>
        <w:t>While we believe that our initiative to replace our existing investment management technology will result in long term savings to the business based on reasonable assumptions as of the date of this report, the duration and complexity of the project creates a significant risk that our current assumptions may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1311fd8e7df48aea4966f1a06c3da93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left"/>
        <w:rPr/>
      </w:pPr>
      <w:r>
        <w:rPr>
          <w:rFonts w:ascii="Times New Roman;serif" w:hAnsi="Times New Roman;serif"/>
          <w:b/>
          <w:color w:val="000000"/>
          <w:sz w:val="20"/>
        </w:rPr>
        <w:t>Item 3.    </w:t>
      </w:r>
      <w:r>
        <w:rPr>
          <w:rFonts w:ascii="Times New Roman;serif" w:hAnsi="Times New Roman;serif"/>
          <w:b/>
          <w:color w:val="000000"/>
          <w:sz w:val="20"/>
          <w:u w:val="single"/>
        </w:rPr>
        <w:t>Quantitative and Qualitative Disclosures About Market Risk</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During the first quarter of 2026, there have been no material changes in AB Holding’s market risk from the information provided under </w:t>
      </w:r>
      <w:r>
        <w:rPr>
          <w:color w:val="000000"/>
        </w:rPr>
        <w:t>“</w:t>
      </w:r>
      <w:r>
        <w:rPr>
          <w:rFonts w:ascii="Times New Roman;serif" w:hAnsi="Times New Roman;serif"/>
          <w:b w:val="false"/>
          <w:i/>
          <w:color w:val="000000"/>
          <w:sz w:val="20"/>
        </w:rPr>
        <w:t xml:space="preserve">Quantitative and Qualitative Disclosures About Market Risk” </w:t>
      </w:r>
      <w:r>
        <w:rPr>
          <w:rFonts w:ascii="Times New Roman;serif" w:hAnsi="Times New Roman;serif"/>
          <w:b w:val="false"/>
          <w:color w:val="000000"/>
          <w:sz w:val="20"/>
        </w:rPr>
        <w:t>in Part II, Item 7A of AB Holding's Form 10-K for the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4.    </w:t>
      </w:r>
      <w:r>
        <w:rPr>
          <w:rFonts w:ascii="Times New Roman;serif" w:hAnsi="Times New Roman;serif"/>
          <w:b/>
          <w:color w:val="000000"/>
          <w:sz w:val="20"/>
          <w:u w:val="single"/>
        </w:rPr>
        <w:t>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Holding and AB maintain a system of disclosure controls and procedures that is designed to ensure that information required to be disclosed in our reports under the Exchange Act is (i) recorded, processed, summarized and reported in a timely manner, and (ii) accumulated and communicated to management, including the Chief Executive Officer ("CEO") and the Chief Financial Officer ("CFO"), to permit timely decisions regarding our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management carried out an evaluation, under the supervision and with the participation of the CEO and the CFO, of the effectiveness of the design and operation of the disclosure controls and procedures. Based on this evaluation, the CEO and the CFO concluded that the disclosure controls and procedures are effective.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completed the implementation of a new accounting and financial reporting software system (the "software system"). As part of this implementation, the Company updated its internal controls over financial reporting to address changes in business processes resulting from the new software system. There were no other changes in our internal control over financial reporting that occurred during the first quarter of 2026, that have materially affected, or are reasonably likely to have materially affected,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1311fd8e7df48aea4966f1a06c3da93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1.    </w:t>
      </w:r>
      <w:r>
        <w:rPr>
          <w:rFonts w:ascii="Times New Roman;serif" w:hAnsi="Times New Roman;serif"/>
          <w:b/>
          <w:color w:val="000000"/>
          <w:sz w:val="20"/>
          <w:u w:val="single"/>
        </w:rPr>
        <w:t>Legal Proceedings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See Note 8 to the condensed financial statements contained in Part I, Item 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1A.    </w:t>
      </w:r>
      <w:r>
        <w:rPr>
          <w:rFonts w:ascii="Times New Roman;serif" w:hAnsi="Times New Roman;serif"/>
          <w:b/>
          <w:color w:val="000000"/>
          <w:sz w:val="20"/>
          <w:u w:val="single"/>
        </w:rPr>
        <w:t>Risk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there have been no material changes to the risk factors from those appearing in AB Holding's Annual Report on Form 10-K for the fiscal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2.    </w:t>
      </w:r>
      <w:r>
        <w:rPr>
          <w:rFonts w:ascii="Times New Roman;serif" w:hAnsi="Times New Roman;serif"/>
          <w:b/>
          <w:color w:val="000000"/>
          <w:sz w:val="20"/>
          <w:u w:val="single"/>
        </w:rPr>
        <w:t>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AB Holding Units sold by AB Holding in the period covered by this report that were not registered under the Securities Act.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Each quarter, AB considers whether to implement a plan to repurchase AB Holding Units pursuant to Rules 10b5-1 and 10b-18 under the Securities Exchange Act of 1934 ("Exchange Act"). The plan adopted during the first quarter of 2026 expired at the close of business on April 27, 2026. AB may adopt additional plans in the future to engage in open-market purchases of AB Holding Units for anticipated obligations under the firm's incentive compensation award program and for other corporate purposes. </w:t>
      </w:r>
      <w:r>
        <w:rPr>
          <w:rFonts w:ascii="Times New Roman;serif" w:hAnsi="Times New Roman;serif"/>
          <w:b w:val="false"/>
          <w:i/>
          <w:color w:val="000000"/>
          <w:sz w:val="20"/>
        </w:rPr>
        <w:t>See Note 3 to the condensed financial statements contained in Part 1, Item 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AB Holding Units bought by us or one of our affiliates during the first quarter of 2026 are as follows: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488"/>
        <w:gridCol w:w="429"/>
        <w:gridCol w:w="431"/>
        <w:gridCol w:w="109"/>
        <w:gridCol w:w="109"/>
        <w:gridCol w:w="109"/>
        <w:gridCol w:w="563"/>
        <w:gridCol w:w="491"/>
        <w:gridCol w:w="493"/>
        <w:gridCol w:w="109"/>
        <w:gridCol w:w="109"/>
        <w:gridCol w:w="109"/>
        <w:gridCol w:w="388"/>
        <w:gridCol w:w="1162"/>
        <w:gridCol w:w="202"/>
        <w:gridCol w:w="109"/>
        <w:gridCol w:w="109"/>
        <w:gridCol w:w="109"/>
        <w:gridCol w:w="689"/>
        <w:gridCol w:w="689"/>
        <w:gridCol w:w="691"/>
        <w:gridCol w:w="109"/>
        <w:gridCol w:w="109"/>
        <w:gridCol w:w="109"/>
        <w:gridCol w:w="636"/>
        <w:gridCol w:w="636"/>
        <w:gridCol w:w="909"/>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w:t>
              <w:br/>
              <w:t>of AB Holding Units</w:t>
              <w:br/>
              <w:t>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 Price</w:t>
            </w:r>
          </w:p>
          <w:p>
            <w:pPr>
              <w:pStyle w:val="TableContents"/>
              <w:bidi w:val="0"/>
              <w:spacing w:lineRule="auto" w:line="240" w:before="0" w:after="0"/>
              <w:jc w:val="center"/>
              <w:rPr/>
            </w:pPr>
            <w:r>
              <w:rPr>
                <w:rFonts w:ascii="Times New Roman;serif" w:hAnsi="Times New Roman;serif"/>
                <w:b/>
                <w:color w:val="000000"/>
                <w:sz w:val="20"/>
              </w:rPr>
              <w:t>Paid</w:t>
            </w:r>
            <w:r>
              <w:rPr>
                <w:color w:val="000000"/>
              </w:rPr>
              <w:t xml:space="preserve"> </w:t>
            </w:r>
            <w:r>
              <w:rPr>
                <w:rFonts w:ascii="Times New Roman;serif" w:hAnsi="Times New Roman;serif"/>
                <w:b/>
                <w:color w:val="000000"/>
                <w:sz w:val="20"/>
              </w:rPr>
              <w:t>Per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AB Holding Unit, Net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w:t>
              <w:br/>
              <w:t>AB Holding Units Purchased as</w:t>
              <w:br/>
              <w:t>Part of Publicly</w:t>
              <w:br/>
              <w:t>Announced Plans</w:t>
              <w:br/>
              <w:t>or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Number</w:t>
              <w:br/>
              <w:t>(or Approximate</w:t>
              <w:br/>
              <w:t>Dollar Value) of</w:t>
              <w:br/>
              <w:t>AB Holding Units that May Yet</w:t>
              <w:br/>
              <w:t>Be Purchased Under</w:t>
              <w:br/>
              <w:t>the Plans or</w:t>
              <w:br/>
              <w:t>Programs</w:t>
            </w:r>
          </w:p>
        </w:tc>
      </w:tr>
      <w:tr>
        <w:trPr/>
        <w:tc>
          <w:tcPr>
            <w:tcW w:w="1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1/1/26 - 1/31/26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2/1/26 - 2/28/26</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67,781 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3/1/26 -3/31/26</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158,899 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226,680</w:t>
            </w:r>
            <w:r>
              <w:rPr>
                <w:color w:val="000000"/>
              </w:rPr>
              <w:t> </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39.01</w:t>
            </w:r>
            <w:r>
              <w:rPr>
                <w:color w:val="000000"/>
              </w:rPr>
              <w:t>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18"/>
        </w:rPr>
        <w:t xml:space="preserve">During the first quarter of 2026, AB retained from employees </w:t>
      </w:r>
      <w:r>
        <w:rPr>
          <w:rFonts w:ascii="Times New Roman;serif" w:hAnsi="Times New Roman;serif"/>
          <w:b w:val="false"/>
          <w:color w:val="000000"/>
          <w:sz w:val="20"/>
        </w:rPr>
        <w:t>100,652</w:t>
      </w:r>
      <w:r>
        <w:rPr>
          <w:color w:val="000000"/>
        </w:rPr>
        <w:t xml:space="preserve"> </w:t>
      </w:r>
      <w:r>
        <w:rPr>
          <w:rFonts w:ascii="Times New Roman;serif" w:hAnsi="Times New Roman;serif"/>
          <w:b w:val="false"/>
          <w:color w:val="000000"/>
          <w:sz w:val="18"/>
        </w:rPr>
        <w:t xml:space="preserve">AB Holding Units to allow them to fulfill statutory withholding tax requirements at the time of distribution of long-term incentive compensation awards. </w:t>
      </w:r>
    </w:p>
    <w:p>
      <w:pPr>
        <w:pStyle w:val="TextBody"/>
        <w:bidi w:val="0"/>
        <w:spacing w:lineRule="auto" w:line="288" w:before="0" w:after="0"/>
        <w:ind w:left="0" w:right="0" w:hanging="360"/>
        <w:jc w:val="both"/>
        <w:rPr/>
      </w:pPr>
      <w:r>
        <w:rPr>
          <w:rFonts w:ascii="Times New Roman;serif" w:hAnsi="Times New Roman;serif"/>
          <w:b w:val="false"/>
          <w:color w:val="000000"/>
          <w:sz w:val="16"/>
        </w:rPr>
        <w:t>(2)</w:t>
      </w:r>
      <w:r>
        <w:rPr>
          <w:rFonts w:ascii="Times New Roman;serif" w:hAnsi="Times New Roman;serif"/>
          <w:b w:val="false"/>
          <w:color w:val="000000"/>
          <w:sz w:val="18"/>
        </w:rPr>
        <w:t>During the first quarter of 2026, AB purchased 126,028 AB Holding Units on the open market pursuant to a Rule</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10b5-1 plan for anticipated obligations under our incentive compensation award program.</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1311fd8e7df48aea4966f1a06c3da93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both"/>
        <w:rPr/>
      </w:pPr>
      <w:r>
        <w:rPr>
          <w:rFonts w:ascii="Times New Roman;serif" w:hAnsi="Times New Roman;serif"/>
          <w:b w:val="false"/>
          <w:color w:val="000000"/>
          <w:sz w:val="20"/>
        </w:rPr>
        <w:t xml:space="preserve">AB Units bought by us or one of our affiliates during the </w:t>
      </w:r>
      <w:r>
        <w:rPr>
          <w:rFonts w:ascii="Times New Roman;serif" w:hAnsi="Times New Roman;serif"/>
          <w:b w:val="false"/>
          <w:color w:val="000000"/>
          <w:sz w:val="18"/>
        </w:rPr>
        <w:t>first quarter</w:t>
      </w:r>
      <w:r>
        <w:rPr>
          <w:color w:val="000000"/>
        </w:rPr>
        <w:t xml:space="preserve"> </w:t>
      </w:r>
      <w:r>
        <w:rPr>
          <w:rFonts w:ascii="Times New Roman;serif" w:hAnsi="Times New Roman;serif"/>
          <w:b w:val="false"/>
          <w:color w:val="000000"/>
          <w:sz w:val="20"/>
        </w:rPr>
        <w:t xml:space="preserve">of </w:t>
      </w:r>
      <w:r>
        <w:rPr>
          <w:rFonts w:ascii="Times New Roman;serif" w:hAnsi="Times New Roman;serif"/>
          <w:b w:val="false"/>
          <w:color w:val="000000"/>
          <w:sz w:val="18"/>
        </w:rPr>
        <w:t>2026</w:t>
      </w:r>
      <w:r>
        <w:rPr>
          <w:color w:val="000000"/>
        </w:rPr>
        <w:t xml:space="preserve"> </w:t>
      </w:r>
      <w:r>
        <w:rPr>
          <w:rFonts w:ascii="Times New Roman;serif" w:hAnsi="Times New Roman;serif"/>
          <w:b w:val="false"/>
          <w:color w:val="000000"/>
          <w:sz w:val="20"/>
        </w:rPr>
        <w:t>are as follows: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0"/>
        <w:jc w:val="left"/>
        <w:rPr>
          <w:color w:val="000000"/>
        </w:rPr>
      </w:pPr>
      <w:r>
        <w:rPr>
          <w:color w:val="000000"/>
        </w:rPr>
        <w:t> </w:t>
      </w:r>
    </w:p>
    <w:tbl>
      <w:tblPr>
        <w:tblW w:w="9615" w:type="dxa"/>
        <w:jc w:val="left"/>
        <w:tblInd w:w="0" w:type="dxa"/>
        <w:tblLayout w:type="fixed"/>
        <w:tblCellMar>
          <w:top w:w="28" w:type="dxa"/>
          <w:left w:w="28" w:type="dxa"/>
          <w:bottom w:w="28" w:type="dxa"/>
          <w:right w:w="28" w:type="dxa"/>
        </w:tblCellMar>
      </w:tblPr>
      <w:tblGrid>
        <w:gridCol w:w="586"/>
        <w:gridCol w:w="516"/>
        <w:gridCol w:w="518"/>
        <w:gridCol w:w="109"/>
        <w:gridCol w:w="109"/>
        <w:gridCol w:w="109"/>
        <w:gridCol w:w="434"/>
        <w:gridCol w:w="434"/>
        <w:gridCol w:w="436"/>
        <w:gridCol w:w="109"/>
        <w:gridCol w:w="109"/>
        <w:gridCol w:w="109"/>
        <w:gridCol w:w="296"/>
        <w:gridCol w:w="885"/>
        <w:gridCol w:w="154"/>
        <w:gridCol w:w="109"/>
        <w:gridCol w:w="109"/>
        <w:gridCol w:w="109"/>
        <w:gridCol w:w="669"/>
        <w:gridCol w:w="669"/>
        <w:gridCol w:w="671"/>
        <w:gridCol w:w="109"/>
        <w:gridCol w:w="109"/>
        <w:gridCol w:w="109"/>
        <w:gridCol w:w="596"/>
        <w:gridCol w:w="596"/>
        <w:gridCol w:w="847"/>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w:t>
              <w:br/>
              <w:t>of AB Units</w:t>
              <w:br/>
              <w:t>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 Price</w:t>
            </w:r>
          </w:p>
          <w:p>
            <w:pPr>
              <w:pStyle w:val="TableContents"/>
              <w:bidi w:val="0"/>
              <w:spacing w:lineRule="auto" w:line="240" w:before="0" w:after="0"/>
              <w:jc w:val="center"/>
              <w:rPr/>
            </w:pPr>
            <w:r>
              <w:rPr>
                <w:rFonts w:ascii="Times New Roman;serif" w:hAnsi="Times New Roman;serif"/>
                <w:b/>
                <w:color w:val="000000"/>
                <w:sz w:val="20"/>
              </w:rPr>
              <w:t>Paid</w:t>
            </w:r>
            <w:r>
              <w:rPr>
                <w:color w:val="000000"/>
              </w:rPr>
              <w:t xml:space="preserve"> </w:t>
            </w:r>
            <w:r>
              <w:rPr>
                <w:rFonts w:ascii="Times New Roman;serif" w:hAnsi="Times New Roman;serif"/>
                <w:b/>
                <w:color w:val="000000"/>
                <w:sz w:val="20"/>
              </w:rPr>
              <w:t>Per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AB Unit, net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w:t>
              <w:br/>
              <w:t>AB Units Purchased as</w:t>
              <w:br/>
              <w:t>Part of Publicly</w:t>
              <w:br/>
              <w:t>Announced Plans</w:t>
              <w:br/>
              <w:t>or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Number</w:t>
              <w:br/>
              <w:t>(or Approximate</w:t>
              <w:br/>
              <w:t>Dollar Value) of</w:t>
              <w:br/>
              <w:t>AB Units that May Yet</w:t>
              <w:br/>
              <w:t>Be Purchased Under</w:t>
              <w:br/>
              <w:t>the Plans or</w:t>
              <w:br/>
              <w:t>Programs</w:t>
            </w:r>
          </w:p>
        </w:tc>
      </w:tr>
      <w:tr>
        <w:trPr/>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1/1/26 - 1/31/26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2/1/26 - 2/28/26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3/1/26 - 3/31/26</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1,500</w:t>
            </w:r>
            <w:r>
              <w:rPr>
                <w:color w:val="000000"/>
              </w:rPr>
              <w:t> </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38.90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color w:val="000000"/>
          <w:sz w:val="12"/>
        </w:rPr>
        <w:t>(1)</w:t>
      </w:r>
      <w:r>
        <w:rPr>
          <w:rFonts w:ascii="Times New Roman;serif" w:hAnsi="Times New Roman;serif"/>
          <w:b w:val="false"/>
          <w:color w:val="000000"/>
          <w:sz w:val="18"/>
        </w:rPr>
        <w:t xml:space="preserve">During first quarter of 2026, AB purchased </w:t>
      </w:r>
      <w:r>
        <w:rPr>
          <w:rFonts w:ascii="Times New Roman;serif" w:hAnsi="Times New Roman;serif"/>
          <w:b w:val="false"/>
          <w:color w:val="000000"/>
          <w:sz w:val="20"/>
        </w:rPr>
        <w:t>1,500</w:t>
      </w:r>
      <w:r>
        <w:rPr>
          <w:color w:val="000000"/>
        </w:rPr>
        <w:t xml:space="preserve"> </w:t>
      </w:r>
      <w:r>
        <w:rPr>
          <w:rFonts w:ascii="Times New Roman;serif" w:hAnsi="Times New Roman;serif"/>
          <w:b w:val="false"/>
          <w:color w:val="000000"/>
          <w:sz w:val="18"/>
        </w:rPr>
        <w:t>AB Units in private transactions and retired them.</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3.    </w:t>
      </w:r>
      <w:r>
        <w:rPr>
          <w:rFonts w:ascii="Times New Roman;serif" w:hAnsi="Times New Roman;serif"/>
          <w:b/>
          <w:color w:val="000000"/>
          <w:sz w:val="20"/>
          <w:u w:val="single"/>
        </w:rPr>
        <w:t>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4.    </w:t>
      </w:r>
      <w:r>
        <w:rPr>
          <w:rFonts w:ascii="Times New Roman;serif" w:hAnsi="Times New Roman;serif"/>
          <w:b/>
          <w:color w:val="000000"/>
          <w:sz w:val="20"/>
          <w:u w:val="single"/>
        </w:rPr>
        <w:t>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5.    </w:t>
      </w:r>
      <w:r>
        <w:rPr>
          <w:rFonts w:ascii="Times New Roman;serif" w:hAnsi="Times New Roman;serif"/>
          <w:b/>
          <w:color w:val="000000"/>
          <w:sz w:val="20"/>
          <w:u w:val="single"/>
        </w:rPr>
        <w:t>Other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12, 2025, Mr. Seth Bernstein, Chief Executive Officer of AB adopted a Rule 10b5-1 trading arrangement, as defined in Regulation S-K, (the " Plan"), Item 408. The Rule 10b5-1 trading arrangement allowed trading to commence upon conclusion of the requisite cooling-off period and had a plan end date October 27, 2026 and provided for the sale of up to 26,840 AB Holding Units pursuant to the terms of the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a total of 26,840 AB Units were sold pursuant to the Plan and the Plan was terminated.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other directors or officers adopted or terminated a 10b5-1 trading arrangement or non-10b5-1 trading arrangement during the first quarter of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1311fd8e7df48aea4966f1a06c3da93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left"/>
        <w:rPr/>
      </w:pPr>
      <w:r>
        <w:rPr>
          <w:rFonts w:ascii="Times New Roman;serif" w:hAnsi="Times New Roman;serif"/>
          <w:b/>
          <w:color w:val="000000"/>
          <w:sz w:val="20"/>
        </w:rPr>
        <w:t>Item 6.    </w:t>
      </w:r>
      <w:r>
        <w:rPr>
          <w:rFonts w:ascii="Times New Roman;serif" w:hAnsi="Times New Roman;serif"/>
          <w:b/>
          <w:color w:val="000000"/>
          <w:sz w:val="20"/>
          <w:u w:val="single"/>
        </w:rPr>
        <w:t>Exhibits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51"/>
        <w:gridCol w:w="205"/>
        <w:gridCol w:w="206"/>
        <w:gridCol w:w="2869"/>
        <w:gridCol w:w="2757"/>
        <w:gridCol w:w="3917"/>
      </w:tblGrid>
      <w:tr>
        <w:trPr/>
        <w:tc>
          <w:tcPr>
            <w:tcW w:w="25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3917"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b-20260331xex311.htm">
              <w:r>
                <w:rPr>
                  <w:rStyle w:val="InternetLink"/>
                  <w:rFonts w:ascii="Times New Roman;serif" w:hAnsi="Times New Roman;serif"/>
                  <w:b w:val="false"/>
                  <w:color w:val="0000FF"/>
                  <w:sz w:val="20"/>
                  <w:u w:val="single"/>
                </w:rPr>
                <w:t>Certification of Mr. Bernstein furnished pursuant to Section 302 of the Sarbanes-Oxley Act of 2002.</w:t>
              </w:r>
            </w:hyperlink>
          </w:p>
        </w:tc>
      </w:tr>
      <w:tr>
        <w:trPr/>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b-20260331xex312.htm">
              <w:r>
                <w:rPr>
                  <w:rStyle w:val="InternetLink"/>
                  <w:rFonts w:ascii="Times New Roman;serif" w:hAnsi="Times New Roman;serif"/>
                  <w:b w:val="false"/>
                  <w:color w:val="0000FF"/>
                  <w:sz w:val="20"/>
                  <w:u w:val="single"/>
                </w:rPr>
                <w:t>Certification of Mr. Simeone furnished pursuant to Section 302 of the Sarbanes-Oxley Act of 2002.</w:t>
              </w:r>
            </w:hyperlink>
          </w:p>
        </w:tc>
      </w:tr>
      <w:tr>
        <w:trPr/>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b-20260331xex321.htm">
              <w:r>
                <w:rPr>
                  <w:rStyle w:val="InternetLink"/>
                  <w:rFonts w:ascii="Times New Roman;serif" w:hAnsi="Times New Roman;serif"/>
                  <w:b w:val="false"/>
                  <w:color w:val="0000FF"/>
                  <w:sz w:val="20"/>
                  <w:u w:val="single"/>
                </w:rPr>
                <w:t>Certification of Mr. Bernstein furnished for the purpose of complying with Rule 13a-14(b) or Rule 15d-14(b) of the Securities Exchange Act of 1934 and 18 U.S.C. Section 1350, as adopted pursuant to Section 906 of the Sarbanes-Oxley Act of 2002.</w:t>
              </w:r>
            </w:hyperlink>
          </w:p>
        </w:tc>
      </w:tr>
      <w:tr>
        <w:trPr/>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b-20260331xex322.htm">
              <w:r>
                <w:rPr>
                  <w:rStyle w:val="InternetLink"/>
                  <w:rFonts w:ascii="Times New Roman;serif" w:hAnsi="Times New Roman;serif"/>
                  <w:b w:val="false"/>
                  <w:color w:val="0000FF"/>
                  <w:sz w:val="20"/>
                  <w:u w:val="single"/>
                </w:rPr>
                <w:t>Certification of Mr. Simeone furnished for the purpose of complying with Rule 13a-14(b) or Rule 15d-14(b) of the Securities Exchange Act of 1934 and 18 U.S.C. Section 1350, as adopted pursuant to Section 906 of the Sarbanes-Oxley Act of 2002.</w:t>
              </w:r>
            </w:hyperlink>
          </w:p>
        </w:tc>
      </w:tr>
      <w:tr>
        <w:trPr/>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99.1 </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991ablp_20260331x10q.htm">
              <w:r>
                <w:rPr>
                  <w:rStyle w:val="InternetLink"/>
                  <w:rFonts w:ascii="Times New Roman;serif" w:hAnsi="Times New Roman;serif"/>
                  <w:b w:val="false"/>
                  <w:color w:val="000080"/>
                  <w:sz w:val="20"/>
                  <w:u w:val="single"/>
                </w:rPr>
                <w:t>Part I, Items 1 through 4 of the AllianceBernstein L.P. Quarterly Report on Form 10-Q for the quarter ended March 31, 202</w:t>
              </w:r>
            </w:hyperlink>
            <w:hyperlink w:anchor="exhibit991ablp_20260331x10q.htm">
              <w:r>
                <w:rPr>
                  <w:rStyle w:val="InternetLink"/>
                  <w:rFonts w:ascii="Times New Roman;serif" w:hAnsi="Times New Roman;serif"/>
                  <w:b w:val="false"/>
                  <w:color w:val="000080"/>
                  <w:sz w:val="20"/>
                  <w:u w:val="single"/>
                </w:rPr>
                <w:t>6</w:t>
              </w:r>
            </w:hyperlink>
            <w:hyperlink w:anchor="exhibit991ablp_20260331x10q.htm">
              <w:r>
                <w:rPr>
                  <w:rStyle w:val="InternetLink"/>
                  <w:rFonts w:ascii="Times New Roman;serif" w:hAnsi="Times New Roman;serif"/>
                  <w:b w:val="false"/>
                  <w:color w:val="000080"/>
                  <w:sz w:val="20"/>
                  <w:u w:val="single"/>
                </w:rPr>
                <w:t xml:space="preserve">. </w:t>
              </w:r>
            </w:hyperlink>
          </w:p>
        </w:tc>
      </w:tr>
      <w:tr>
        <w:trPr/>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w:t>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w:t>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w:t>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w:t>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w:t>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212529"/>
                <w:sz w:val="20"/>
              </w:rPr>
            </w:pPr>
            <w:r>
              <w:rPr>
                <w:rFonts w:ascii="Times New Roman;serif" w:hAnsi="Times New Roman;serif"/>
                <w:b w:val="false"/>
                <w:color w:val="212529"/>
                <w:sz w:val="20"/>
              </w:rPr>
              <w:t>The cover page from the Company’s Quarterly Report on Form 10-Q for the quarter ended March 31, 2026, formatted in Inline XBRL (included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1311fd8e7df48aea4966f1a06c3da93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5870" w:type="dxa"/>
        <w:jc w:val="left"/>
        <w:tblInd w:w="0" w:type="dxa"/>
        <w:tblLayout w:type="fixed"/>
        <w:tblCellMar>
          <w:top w:w="28" w:type="dxa"/>
          <w:left w:w="28" w:type="dxa"/>
          <w:bottom w:w="28" w:type="dxa"/>
          <w:right w:w="28" w:type="dxa"/>
        </w:tblCellMar>
      </w:tblPr>
      <w:tblGrid>
        <w:gridCol w:w="591"/>
        <w:gridCol w:w="520"/>
        <w:gridCol w:w="523"/>
        <w:gridCol w:w="387"/>
        <w:gridCol w:w="387"/>
        <w:gridCol w:w="387"/>
        <w:gridCol w:w="580"/>
        <w:gridCol w:w="580"/>
        <w:gridCol w:w="580"/>
        <w:gridCol w:w="387"/>
        <w:gridCol w:w="387"/>
        <w:gridCol w:w="56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 2026</w:t>
            </w:r>
          </w:p>
        </w:tc>
        <w:tc>
          <w:tcPr>
            <w:tcW w:w="42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ALLIANCEBERNSTEIN HOLDING L.P.</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Simeone</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Simeone</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Alexis Luckey</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Alexis Luckey</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ind w:left="0" w:right="0" w:firstLine="36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Seth Bernstein,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AllianceBernstein Holding L.P.;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both"/>
        <w:rPr/>
      </w:pPr>
      <w:r>
        <w:rPr/>
      </w:r>
    </w:p>
    <w:tbl>
      <w:tblPr>
        <w:tblW w:w="4332" w:type="dxa"/>
        <w:jc w:val="left"/>
        <w:tblInd w:w="0" w:type="dxa"/>
        <w:tblLayout w:type="fixed"/>
        <w:tblCellMar>
          <w:top w:w="28" w:type="dxa"/>
          <w:left w:w="28" w:type="dxa"/>
          <w:bottom w:w="28" w:type="dxa"/>
          <w:right w:w="28" w:type="dxa"/>
        </w:tblCellMar>
      </w:tblPr>
      <w:tblGrid>
        <w:gridCol w:w="591"/>
        <w:gridCol w:w="520"/>
        <w:gridCol w:w="523"/>
        <w:gridCol w:w="723"/>
        <w:gridCol w:w="723"/>
        <w:gridCol w:w="726"/>
        <w:gridCol w:w="154"/>
        <w:gridCol w:w="154"/>
        <w:gridCol w:w="21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 2026</w:t>
            </w:r>
          </w:p>
        </w:tc>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Seth Bernstein</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Seth Bernstein</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AllianceBernstein Holding L.P.</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Tom Simeone,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AllianceBernstein Holding L.P.;</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pPr>
      <w:r>
        <w:rPr>
          <w:rFonts w:ascii="Times New Roman;serif" w:hAnsi="Times New Roman;serif"/>
          <w:b w:val="false"/>
          <w:color w:val="000000"/>
          <w:sz w:val="20"/>
        </w:rPr>
        <w:t>(a)All significant deficiencies and material weaknesses in the design or operation of internal control over financial</w:t>
      </w:r>
      <w:r>
        <w:rPr>
          <w:color w:val="000000"/>
        </w:rPr>
        <w:t>  </w:t>
      </w:r>
      <w:r>
        <w:rPr>
          <w:rFonts w:ascii="Times New Roman;serif" w:hAnsi="Times New Roman;serif"/>
          <w:b w:val="false"/>
          <w:color w:val="000000"/>
          <w:sz w:val="20"/>
        </w:rPr>
        <w:t>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both"/>
        <w:rPr/>
      </w:pPr>
      <w:r>
        <w:rPr/>
      </w:r>
    </w:p>
    <w:tbl>
      <w:tblPr>
        <w:tblW w:w="4695" w:type="dxa"/>
        <w:jc w:val="left"/>
        <w:tblInd w:w="0" w:type="dxa"/>
        <w:tblLayout w:type="fixed"/>
        <w:tblCellMar>
          <w:top w:w="28" w:type="dxa"/>
          <w:left w:w="28" w:type="dxa"/>
          <w:bottom w:w="28" w:type="dxa"/>
          <w:right w:w="28" w:type="dxa"/>
        </w:tblCellMar>
      </w:tblPr>
      <w:tblGrid>
        <w:gridCol w:w="591"/>
        <w:gridCol w:w="520"/>
        <w:gridCol w:w="523"/>
        <w:gridCol w:w="884"/>
        <w:gridCol w:w="884"/>
        <w:gridCol w:w="887"/>
        <w:gridCol w:w="119"/>
        <w:gridCol w:w="119"/>
        <w:gridCol w:w="16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 2026</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Tom Simeone</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Tom Simeone</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AllianceBernstein Holding L.P.</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 PURSUANT TO</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18 U.S.C. SECTION 1350,</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AS ADOPTED PURSUANT TO</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AllianceBernstein Holding L.P. (the “Company”) on Form 10-Q for the period ending March 31, 2026 to be filed with the Securities and Exchange Commission on or about May 1, 2026 (the “Report”), I, Seth Bernstein, Chief Executive Officer of the Company, certify, for the purpose of complying with Rule 13a-14(b) or Rule 15d-14(b) of the Securities Exchange Act of 1934 (the “Exchange Act”) and 18 U.S.C. §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80" w:after="283"/>
        <w:jc w:val="both"/>
        <w:rPr/>
      </w:pPr>
      <w:r>
        <w:rPr/>
      </w:r>
    </w:p>
    <w:tbl>
      <w:tblPr>
        <w:tblW w:w="4661" w:type="dxa"/>
        <w:jc w:val="left"/>
        <w:tblInd w:w="0" w:type="dxa"/>
        <w:tblLayout w:type="fixed"/>
        <w:tblCellMar>
          <w:top w:w="28" w:type="dxa"/>
          <w:left w:w="28" w:type="dxa"/>
          <w:bottom w:w="28" w:type="dxa"/>
          <w:right w:w="28" w:type="dxa"/>
        </w:tblCellMar>
      </w:tblPr>
      <w:tblGrid>
        <w:gridCol w:w="591"/>
        <w:gridCol w:w="520"/>
        <w:gridCol w:w="523"/>
        <w:gridCol w:w="884"/>
        <w:gridCol w:w="884"/>
        <w:gridCol w:w="887"/>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 2026</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Seth Bernstein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Seth Bernstein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AllianceBernstein Holding 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2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 PURSUANT TO</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18 U.S.C. SECTION 1350,</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AS ADOPTED PURSUANT TO</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AllianceBernstein Holding L.P. (the “Company”) on Form 10-Q for the period ending March 31, 2026 to be filed with the Securities and Exchange Commission on or about May 1, 2026 (the “Report”), I, Tom Simeone, Chief Financial Officer of the Company, certify, for the purpose of complying with Rule 13a-14(b) or 15d-14(b) of the Securities Exchange Act of 1934 (the “Exchange Act”) and 18 U.S.C. §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80" w:after="283"/>
        <w:jc w:val="both"/>
        <w:rPr/>
      </w:pPr>
      <w:r>
        <w:rPr/>
      </w:r>
    </w:p>
    <w:tbl>
      <w:tblPr>
        <w:tblW w:w="4695" w:type="dxa"/>
        <w:jc w:val="left"/>
        <w:tblInd w:w="0" w:type="dxa"/>
        <w:tblLayout w:type="fixed"/>
        <w:tblCellMar>
          <w:top w:w="28" w:type="dxa"/>
          <w:left w:w="28" w:type="dxa"/>
          <w:bottom w:w="28" w:type="dxa"/>
          <w:right w:w="28" w:type="dxa"/>
        </w:tblCellMar>
      </w:tblPr>
      <w:tblGrid>
        <w:gridCol w:w="591"/>
        <w:gridCol w:w="520"/>
        <w:gridCol w:w="523"/>
        <w:gridCol w:w="884"/>
        <w:gridCol w:w="884"/>
        <w:gridCol w:w="887"/>
        <w:gridCol w:w="119"/>
        <w:gridCol w:w="119"/>
        <w:gridCol w:w="16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 2026</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Tom Simeone</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Tom Simeone</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AllianceBernstein Holding L.P.</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Part I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FINANCIAL INFORMATION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ALLIANCEBERNSTEIN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Financial Condition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unit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tbl>
      <w:tblPr>
        <w:tblW w:w="9189" w:type="dxa"/>
        <w:jc w:val="center"/>
        <w:tblInd w:w="0" w:type="dxa"/>
        <w:tblLayout w:type="fixed"/>
        <w:tblCellMar>
          <w:top w:w="28" w:type="dxa"/>
          <w:left w:w="28" w:type="dxa"/>
          <w:bottom w:w="28" w:type="dxa"/>
          <w:right w:w="28" w:type="dxa"/>
        </w:tblCellMar>
      </w:tblPr>
      <w:tblGrid>
        <w:gridCol w:w="2244"/>
        <w:gridCol w:w="1970"/>
        <w:gridCol w:w="1981"/>
        <w:gridCol w:w="211"/>
        <w:gridCol w:w="991"/>
        <w:gridCol w:w="109"/>
        <w:gridCol w:w="109"/>
        <w:gridCol w:w="109"/>
        <w:gridCol w:w="109"/>
        <w:gridCol w:w="211"/>
        <w:gridCol w:w="991"/>
        <w:gridCol w:w="154"/>
      </w:tblGrid>
      <w:tr>
        <w:trPr/>
        <w:tc>
          <w:tcPr>
            <w:tcW w:w="2244"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918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securities segregated, at fair value (cost: $348,773 and $496,263)</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Brokers and dealers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clients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funds fees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fees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of consolidated company-sponsored investment funds: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Cash and cash equivalents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Investments </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Other assets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equipment and leasehold improvements,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sales commissions,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9,206,393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9,277,776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924"/>
        <w:gridCol w:w="1464"/>
        <w:gridCol w:w="1467"/>
        <w:gridCol w:w="376"/>
        <w:gridCol w:w="1770"/>
        <w:gridCol w:w="194"/>
        <w:gridCol w:w="194"/>
        <w:gridCol w:w="194"/>
        <w:gridCol w:w="194"/>
        <w:gridCol w:w="376"/>
        <w:gridCol w:w="1770"/>
        <w:gridCol w:w="282"/>
      </w:tblGrid>
      <w:tr>
        <w:trPr/>
        <w:tc>
          <w:tcPr>
            <w:tcW w:w="192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REDEEMABLE NON-CONTROLLING INTEREST AND CAPITAL</w:t>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Payables:</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Brokers and dealers</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175,966 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214,454 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clients</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1,988,367 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1,936,726 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mutual funds</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liability</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294,746 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381,211 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528,667 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518,578 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of consolidated company-sponsored investment funds</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399,953 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367,498 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810,000 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4,136,143</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4,262,658</w:t>
            </w:r>
            <w:r>
              <w:rPr>
                <w:color w:val="000000"/>
              </w:rPr>
              <w:t>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r>
      <w:tr>
        <w:trPr/>
        <w:tc>
          <w:tcPr>
            <w:tcW w:w="4855"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Commitments and contingencies (</w:t>
            </w:r>
            <w:r>
              <w:rPr>
                <w:rFonts w:ascii="Times New Roman;serif" w:hAnsi="Times New Roman;serif"/>
                <w:b w:val="false"/>
                <w:i/>
                <w:color w:val="000000"/>
                <w:sz w:val="20"/>
              </w:rPr>
              <w:t>See Note 12</w:t>
            </w:r>
            <w:r>
              <w:rPr>
                <w:rFonts w:ascii="Times New Roman;serif" w:hAnsi="Times New Roman;serif"/>
                <w:b w:val="false"/>
                <w:color w:val="000000"/>
                <w:sz w:val="20"/>
              </w:rPr>
              <w:t>)</w:t>
            </w:r>
          </w:p>
        </w:tc>
        <w:tc>
          <w:tcPr>
            <w:tcW w:w="2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Redeemable non-controlling interest of consolidated entities </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255,651 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178,967 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Partner</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Limited partners: 294,626,407 and 293,508,421 units issued and outstanding</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4,946,323 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4,916,978 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affiliates</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Holding Units held for long-term incentive compensation plans</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(118,043)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(72,869)</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(57,389)</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Partners’ capital attributable to AB Unitholders</w:t>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4,813,517</w:t>
            </w: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4,835,154</w:t>
            </w:r>
            <w:r>
              <w:rPr>
                <w:color w:val="000000"/>
              </w:rPr>
              <w:t>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Non-redeemable non-controlling interests in consolidated entities</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w:t>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4,814,599</w:t>
            </w: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4,836,151</w:t>
            </w:r>
            <w:r>
              <w:rPr>
                <w:color w:val="000000"/>
              </w:rPr>
              <w:t>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non-controlling interest and capital</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9,206,393</w:t>
            </w:r>
            <w:r>
              <w:rPr>
                <w:color w:val="000000"/>
              </w:rPr>
              <w:t>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9,277,776</w:t>
            </w:r>
            <w:r>
              <w:rPr>
                <w:color w:val="000000"/>
              </w:rPr>
              <w:t>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ALLIANCEBERNSTEIN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Income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except per unit amounts)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2083"/>
        <w:gridCol w:w="1727"/>
        <w:gridCol w:w="1744"/>
        <w:gridCol w:w="109"/>
        <w:gridCol w:w="109"/>
        <w:gridCol w:w="109"/>
        <w:gridCol w:w="109"/>
        <w:gridCol w:w="109"/>
        <w:gridCol w:w="202"/>
        <w:gridCol w:w="202"/>
        <w:gridCol w:w="393"/>
        <w:gridCol w:w="1569"/>
        <w:gridCol w:w="202"/>
        <w:gridCol w:w="109"/>
        <w:gridCol w:w="109"/>
        <w:gridCol w:w="109"/>
        <w:gridCol w:w="211"/>
        <w:gridCol w:w="841"/>
        <w:gridCol w:w="159"/>
      </w:tblGrid>
      <w:tr>
        <w:trPr/>
        <w:tc>
          <w:tcPr>
            <w:tcW w:w="2083"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538" w:type="dxa"/>
            <w:gridSpan w:val="6"/>
            <w:tcBorders/>
          </w:tcPr>
          <w:p>
            <w:pPr>
              <w:pStyle w:val="TableContents"/>
              <w:bidi w:val="0"/>
              <w:spacing w:before="0" w:after="283"/>
              <w:jc w:val="left"/>
              <w:rPr>
                <w:sz w:val="4"/>
                <w:szCs w:val="4"/>
              </w:rPr>
            </w:pPr>
            <w:r>
              <w:rPr>
                <w:sz w:val="4"/>
                <w:szCs w:val="4"/>
              </w:rPr>
            </w:r>
          </w:p>
        </w:tc>
      </w:tr>
      <w:tr>
        <w:trPr/>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advisory and services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915,214 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202,818 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and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1,214,731 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1,098,124 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Broker-dealer related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1,201,726 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1,080,607 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467,557 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Promotion and servicing: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Distribution-related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196,596 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sales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execution, marketing, T&amp;E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130,391 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874,926 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844,238 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326,800</w:t>
            </w: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236,369</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308,636</w:t>
            </w: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221,694</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of consolidated entities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AB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295,485</w:t>
            </w: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220,799</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AB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2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0.75</w:t>
            </w:r>
            <w:r>
              <w:rPr>
                <w:color w:val="000000"/>
              </w:rPr>
              <w:t> </w:t>
            </w:r>
          </w:p>
        </w:tc>
        <w:tc>
          <w:tcPr>
            <w:tcW w:w="1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ALLIANCEBERNSTEIN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Income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135"/>
        <w:gridCol w:w="1844"/>
        <w:gridCol w:w="1862"/>
        <w:gridCol w:w="109"/>
        <w:gridCol w:w="109"/>
        <w:gridCol w:w="109"/>
        <w:gridCol w:w="109"/>
        <w:gridCol w:w="109"/>
        <w:gridCol w:w="180"/>
        <w:gridCol w:w="180"/>
        <w:gridCol w:w="349"/>
        <w:gridCol w:w="1393"/>
        <w:gridCol w:w="180"/>
        <w:gridCol w:w="109"/>
        <w:gridCol w:w="109"/>
        <w:gridCol w:w="109"/>
        <w:gridCol w:w="211"/>
        <w:gridCol w:w="841"/>
        <w:gridCol w:w="158"/>
      </w:tblGrid>
      <w:tr>
        <w:trPr/>
        <w:tc>
          <w:tcPr>
            <w:tcW w:w="2135"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537" w:type="dxa"/>
            <w:gridSpan w:val="6"/>
            <w:tcBorders/>
          </w:tcPr>
          <w:p>
            <w:pPr>
              <w:pStyle w:val="TableContents"/>
              <w:bidi w:val="0"/>
              <w:spacing w:before="0" w:after="283"/>
              <w:jc w:val="left"/>
              <w:rPr>
                <w:sz w:val="4"/>
                <w:szCs w:val="4"/>
              </w:rPr>
            </w:pPr>
            <w:r>
              <w:rPr>
                <w:sz w:val="4"/>
                <w:szCs w:val="4"/>
              </w:rPr>
            </w:r>
          </w:p>
        </w:tc>
      </w:tr>
      <w:tr>
        <w:trPr/>
        <w:tc>
          <w:tcPr>
            <w:tcW w:w="58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308,636 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5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5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5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5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5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5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employee benefit related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reclassification adjustment for (losses) included in net income upon retirement plan liquidation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employee benefit related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related items,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in consolidated entities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AB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289,228</w:t>
            </w:r>
            <w:r>
              <w:rPr>
                <w:color w:val="000000"/>
              </w:rPr>
              <w:t>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254,965</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ALLIANCEBERNSTEIN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Partners' Capital</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2047"/>
        <w:gridCol w:w="1759"/>
        <w:gridCol w:w="1775"/>
        <w:gridCol w:w="109"/>
        <w:gridCol w:w="109"/>
        <w:gridCol w:w="169"/>
        <w:gridCol w:w="169"/>
        <w:gridCol w:w="169"/>
        <w:gridCol w:w="169"/>
        <w:gridCol w:w="328"/>
        <w:gridCol w:w="1544"/>
        <w:gridCol w:w="169"/>
        <w:gridCol w:w="109"/>
        <w:gridCol w:w="109"/>
        <w:gridCol w:w="109"/>
        <w:gridCol w:w="211"/>
        <w:gridCol w:w="991"/>
        <w:gridCol w:w="160"/>
      </w:tblGrid>
      <w:tr>
        <w:trPr/>
        <w:tc>
          <w:tcPr>
            <w:tcW w:w="2047"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689" w:type="dxa"/>
            <w:gridSpan w:val="6"/>
            <w:tcBorders/>
          </w:tcPr>
          <w:p>
            <w:pPr>
              <w:pStyle w:val="TableContents"/>
              <w:bidi w:val="0"/>
              <w:spacing w:before="0" w:after="283"/>
              <w:jc w:val="left"/>
              <w:rPr>
                <w:sz w:val="4"/>
                <w:szCs w:val="4"/>
              </w:rPr>
            </w:pPr>
            <w:r>
              <w:rPr>
                <w:sz w:val="4"/>
                <w:szCs w:val="4"/>
              </w:rPr>
            </w:r>
          </w:p>
        </w:tc>
      </w:tr>
      <w:tr>
        <w:trPr/>
        <w:tc>
          <w:tcPr>
            <w:tcW w:w="5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General Partner’s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48,694</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49,519</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to General Partner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compensation plans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AB Units,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48,989</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48,395</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Limited Partners'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4,916,978</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4,999,616</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to Unitholders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(308,596)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(336,231)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compensation plans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AB Units,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4,946,323</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4,888,248</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Receivables from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(2,893)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compensation awards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(to) AB Holding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(3,411)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AB Holding Units held for Long-term Incentive Compensation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(72,869)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(62,366)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AB Holding Units for long-term compensation plans,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AB Units,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compensation awards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Revaluation of AB Holding Units held in rabbi trust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(118,043)</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(91,369)</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(57,389)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(110,581)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employee benefit related items,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(63,646)</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(76,415)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Partners' Capital attributable to AB Unitholders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4,813,517</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4,765,448</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Non-redeemable Non-controlling Interests in Consolidated Entities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997</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1,348</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Contributions from non-controlling interest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1,082</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2,504</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4,814,599</w:t>
            </w:r>
            <w:r>
              <w:rPr>
                <w:color w:val="000000"/>
              </w:rPr>
              <w:t>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4,767,952</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ALLIANCEBERNSTEIN L.P.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077" w:type="dxa"/>
        <w:jc w:val="center"/>
        <w:tblInd w:w="0" w:type="dxa"/>
        <w:tblLayout w:type="fixed"/>
        <w:tblCellMar>
          <w:top w:w="28" w:type="dxa"/>
          <w:left w:w="28" w:type="dxa"/>
          <w:bottom w:w="28" w:type="dxa"/>
          <w:right w:w="28" w:type="dxa"/>
        </w:tblCellMar>
      </w:tblPr>
      <w:tblGrid>
        <w:gridCol w:w="2620"/>
        <w:gridCol w:w="2305"/>
        <w:gridCol w:w="2320"/>
        <w:gridCol w:w="222"/>
        <w:gridCol w:w="885"/>
        <w:gridCol w:w="114"/>
        <w:gridCol w:w="114"/>
        <w:gridCol w:w="114"/>
        <w:gridCol w:w="114"/>
        <w:gridCol w:w="222"/>
        <w:gridCol w:w="885"/>
        <w:gridCol w:w="162"/>
      </w:tblGrid>
      <w:tr>
        <w:trPr/>
        <w:tc>
          <w:tcPr>
            <w:tcW w:w="2620"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308,636</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221,694</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sales commissions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long-term incentive compensation expense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investments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equity method investments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investments of consolidated company-sponsored investment funds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plan loss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plan funding</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securities, segregated</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(272,256)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receivables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investments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deferred sales commissions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other assets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investments of consolidated company-sponsored investment funds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(80,266)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(202,080)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other assets of consolidated company-sponsored investment funds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liabilities of consolidated company-sponsored investment funds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payables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accounts payable and accrued expenses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(86,412)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accrued compensation and benefits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to relieve operating lease liabilities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460,631</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148,816</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744"/>
        <w:gridCol w:w="2317"/>
        <w:gridCol w:w="2326"/>
        <w:gridCol w:w="220"/>
        <w:gridCol w:w="879"/>
        <w:gridCol w:w="113"/>
        <w:gridCol w:w="113"/>
        <w:gridCol w:w="113"/>
        <w:gridCol w:w="113"/>
        <w:gridCol w:w="220"/>
        <w:gridCol w:w="879"/>
        <w:gridCol w:w="168"/>
      </w:tblGrid>
      <w:tr>
        <w:trPr/>
        <w:tc>
          <w:tcPr>
            <w:tcW w:w="2744"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7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8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38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furniture, equipment and leasehold improvements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38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38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38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38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(10,319)</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(7,478)</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proceeds from debt, net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38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38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General Partner and Unitholders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(311,714)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(339,628)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Terminations of non-controlling interest in consolidated company-sponsored investment funds, net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152,272 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38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(to) AB Holding</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38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AB Holding Units for long-term incentive compensation plan awards, net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38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cash (used in) financing activities </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(364,351)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(190,670)</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and cash equivalents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80,620</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(36,509)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as of beginning of the period</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as of end of the period</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877,193</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797,524</w:t>
            </w: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ALLIANCEBERNSTEIN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March 31,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words “we” and “our” refer collectively to AllianceBernstein L.P. and its subsidiaries (“AB”), or to their officers and employees. Similarly, the word “company” refers to AB. These statements should be read in conjunction with AB’s audited consolidated financial statements included in AB’s Form 10-K for the year ended December 31,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 xml:space="preserve">Business Description, Organization and Basis of Presentation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Business Description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diversified investment management and related services globally to a broad range of clients. Our principal services include: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color w:val="000000"/>
          <w:sz w:val="20"/>
        </w:rPr>
        <w:t>Institutional Services</w:t>
      </w:r>
      <w:r>
        <w:rPr>
          <w:color w:val="000000"/>
        </w:rPr>
        <w:t xml:space="preserve"> – </w:t>
      </w:r>
      <w:r>
        <w:rPr>
          <w:rFonts w:ascii="Times New Roman;serif" w:hAnsi="Times New Roman;serif"/>
          <w:b w:val="false"/>
          <w:color w:val="000000"/>
          <w:sz w:val="20"/>
        </w:rPr>
        <w:t xml:space="preserve">servicing our institutional clients, including private and public pension plans, foundations and endowments, insurance companies, central banks and governments worldwide, and affiliates such as Equitable Holdings, Inc. ("EQH") and its subsidiaries, by means of separately-managed accounts, sub-advisory relationships, structured products, collective investment trusts, mutual funds, hedge funds and other investment vehicles. </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color w:val="000000"/>
          <w:sz w:val="20"/>
        </w:rPr>
        <w:t>Retail Services</w:t>
      </w:r>
      <w:r>
        <w:rPr>
          <w:color w:val="000000"/>
        </w:rPr>
        <w:t xml:space="preserve"> – </w:t>
      </w:r>
      <w:r>
        <w:rPr>
          <w:rFonts w:ascii="Times New Roman;serif" w:hAnsi="Times New Roman;serif"/>
          <w:b w:val="false"/>
          <w:color w:val="000000"/>
          <w:sz w:val="20"/>
        </w:rPr>
        <w:t xml:space="preserve">servicing our retail clients, primarily by means of retail mutual funds sponsored by AB or an affiliated company, sub-advisory relationships with mutual funds sponsored by third parties, separately-managed account programs sponsored by financial intermediaries worldwide and other investment vehicles. </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color w:val="000000"/>
          <w:sz w:val="20"/>
        </w:rPr>
        <w:t>Private Wealth Management</w:t>
      </w:r>
      <w:r>
        <w:rPr>
          <w:color w:val="000000"/>
        </w:rPr>
        <w:t xml:space="preserve"> – </w:t>
      </w:r>
      <w:r>
        <w:rPr>
          <w:rFonts w:ascii="Times New Roman;serif" w:hAnsi="Times New Roman;serif"/>
          <w:b w:val="false"/>
          <w:color w:val="000000"/>
          <w:sz w:val="20"/>
        </w:rPr>
        <w:t xml:space="preserve">servicing our private clients, including high-net-worth individuals and families, trusts and estates, charitable foundations, partnerships, private and family corporations, and other entities, by means of separately-managed accounts, hedge funds, mutual funds and other investment vehicles.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provide distribution, shareholder servicing, transfer agency services and administrative services to the mutual funds we sponsor.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high-quality, in-depth research is the foundation of our asset management and private wealth management businesses. AB’s research disciplines include economic, equity, fixed income and quantitative research. In addition, AB has expertise in multi-asset strategies, wealth management, environmental, social and corporate governance ("ESG"), and alternative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provide a broad range of investment services with expertise in:</w:t>
      </w:r>
    </w:p>
    <w:p>
      <w:pPr>
        <w:pStyle w:val="TextBody"/>
        <w:bidi w:val="0"/>
        <w:spacing w:lineRule="auto" w:line="288" w:before="80" w:after="80"/>
        <w:ind w:left="0" w:right="0" w:hanging="360"/>
        <w:jc w:val="both"/>
        <w:rPr/>
      </w:pPr>
      <w:r>
        <w:rPr>
          <w:color w:val="000000"/>
        </w:rPr>
        <w:t>•</w:t>
      </w:r>
      <w:r>
        <w:rPr>
          <w:rFonts w:ascii="Times New Roman;serif" w:hAnsi="Times New Roman;serif"/>
          <w:b/>
          <w:color w:val="000000"/>
          <w:sz w:val="20"/>
        </w:rPr>
        <w:t>Equities,</w:t>
      </w:r>
      <w:r>
        <w:rPr>
          <w:color w:val="000000"/>
        </w:rPr>
        <w:t xml:space="preserve"> </w:t>
      </w:r>
      <w:r>
        <w:rPr>
          <w:rFonts w:ascii="Times New Roman;serif" w:hAnsi="Times New Roman;serif"/>
          <w:b w:val="false"/>
          <w:color w:val="000000"/>
          <w:sz w:val="20"/>
        </w:rPr>
        <w:t>including actively managed strategies across global and regional markets and capitalization ranges, spanning growth, value, core, defensive, thematic, and sustainable approaches, with varying degrees of active risk, concentration, and benchmark sensitivity;</w:t>
      </w:r>
    </w:p>
    <w:p>
      <w:pPr>
        <w:pStyle w:val="TextBody"/>
        <w:bidi w:val="0"/>
        <w:spacing w:lineRule="auto" w:line="288" w:before="80" w:after="80"/>
        <w:ind w:left="0" w:right="0" w:hanging="360"/>
        <w:jc w:val="both"/>
        <w:rPr/>
      </w:pPr>
      <w:r>
        <w:rPr>
          <w:color w:val="000000"/>
        </w:rPr>
        <w:t>•</w:t>
      </w:r>
      <w:r>
        <w:rPr>
          <w:rFonts w:ascii="Times New Roman;serif" w:hAnsi="Times New Roman;serif"/>
          <w:b/>
          <w:color w:val="000000"/>
          <w:sz w:val="20"/>
        </w:rPr>
        <w:t>Fixed Income</w:t>
      </w:r>
      <w:r>
        <w:rPr>
          <w:rFonts w:ascii="Times New Roman;serif" w:hAnsi="Times New Roman;serif"/>
          <w:b w:val="false"/>
          <w:color w:val="000000"/>
          <w:sz w:val="20"/>
        </w:rPr>
        <w:t>, including actively managed traditional and unconstrained strategies across taxable and tax-exempt markets, encompassing government, corporate, securitized, emerging market, and municipal securities, with a focus on income generation, risk management, liquidity, and diversification;</w:t>
      </w:r>
    </w:p>
    <w:p>
      <w:pPr>
        <w:pStyle w:val="TextBody"/>
        <w:bidi w:val="0"/>
        <w:spacing w:lineRule="auto" w:line="288" w:before="80" w:after="80"/>
        <w:ind w:left="0" w:right="0" w:hanging="360"/>
        <w:jc w:val="both"/>
        <w:rPr/>
      </w:pPr>
      <w:r>
        <w:rPr>
          <w:color w:val="000000"/>
        </w:rPr>
        <w:t>•</w:t>
      </w:r>
      <w:r>
        <w:rPr>
          <w:rFonts w:ascii="Times New Roman;serif" w:hAnsi="Times New Roman;serif"/>
          <w:b/>
          <w:color w:val="000000"/>
          <w:sz w:val="20"/>
        </w:rPr>
        <w:t>Multi-Asset Solutions</w:t>
      </w:r>
      <w:r>
        <w:rPr>
          <w:rFonts w:ascii="Times New Roman;serif" w:hAnsi="Times New Roman;serif"/>
          <w:b w:val="false"/>
          <w:color w:val="000000"/>
          <w:sz w:val="20"/>
        </w:rPr>
        <w:t>, including outcome-oriented and asset-allocation strategies such as target-date, target-risk, income, and total-return portfolios, as well as customized multi-asset solutions designed to meet specific client objectives;</w:t>
      </w:r>
    </w:p>
    <w:p>
      <w:pPr>
        <w:pStyle w:val="TextBody"/>
        <w:bidi w:val="0"/>
        <w:spacing w:lineRule="auto" w:line="288" w:before="80" w:after="80"/>
        <w:ind w:left="0" w:right="0" w:hanging="360"/>
        <w:jc w:val="both"/>
        <w:rPr/>
      </w:pPr>
      <w:r>
        <w:rPr>
          <w:color w:val="000000"/>
        </w:rPr>
        <w:t>•</w:t>
      </w:r>
      <w:r>
        <w:rPr>
          <w:rFonts w:ascii="Times New Roman;serif" w:hAnsi="Times New Roman;serif"/>
          <w:b/>
          <w:color w:val="000000"/>
          <w:sz w:val="20"/>
        </w:rPr>
        <w:t>Hedge Fund Strategies</w:t>
      </w:r>
      <w:r>
        <w:rPr>
          <w:rFonts w:ascii="Times New Roman;serif" w:hAnsi="Times New Roman;serif"/>
          <w:b w:val="false"/>
          <w:color w:val="000000"/>
          <w:sz w:val="20"/>
        </w:rPr>
        <w:t>, including fundamental and systematic hedge funds, equity market neutral, event-driven, macro, and fund-of-funds strategies, focused on delivering diversified, idiosyncratic return streams with controlled market exposure;</w:t>
      </w:r>
    </w:p>
    <w:p>
      <w:pPr>
        <w:pStyle w:val="TextBody"/>
        <w:bidi w:val="0"/>
        <w:spacing w:lineRule="auto" w:line="288" w:before="80" w:after="80"/>
        <w:ind w:left="0" w:right="0" w:hanging="360"/>
        <w:jc w:val="both"/>
        <w:rPr/>
      </w:pPr>
      <w:r>
        <w:rPr>
          <w:color w:val="000000"/>
        </w:rPr>
        <w:t>•</w:t>
      </w:r>
      <w:r>
        <w:rPr>
          <w:rFonts w:ascii="Times New Roman;serif" w:hAnsi="Times New Roman;serif"/>
          <w:b/>
          <w:color w:val="000000"/>
          <w:sz w:val="20"/>
        </w:rPr>
        <w:t>Private Alternatives</w:t>
      </w:r>
      <w:r>
        <w:rPr>
          <w:rFonts w:ascii="Times New Roman;serif" w:hAnsi="Times New Roman;serif"/>
          <w:b w:val="false"/>
          <w:color w:val="000000"/>
          <w:sz w:val="20"/>
        </w:rPr>
        <w:t>, including private credit, asset-based finance, real assets, real estate debt, and specialty finance strategies, where returns are driven by underwriting discipline, structure, selectivity, and active portfolio management rather than public market beta; and</w:t>
      </w:r>
    </w:p>
    <w:p>
      <w:pPr>
        <w:pStyle w:val="TextBody"/>
        <w:bidi w:val="0"/>
        <w:spacing w:lineRule="auto" w:line="288" w:before="80" w:after="80"/>
        <w:ind w:left="0" w:right="0" w:hanging="360"/>
        <w:jc w:val="both"/>
        <w:rPr/>
      </w:pPr>
      <w:r>
        <w:rPr>
          <w:color w:val="000000"/>
        </w:rPr>
        <w:t>•</w:t>
      </w:r>
      <w:r>
        <w:rPr>
          <w:rFonts w:ascii="Times New Roman;serif" w:hAnsi="Times New Roman;serif"/>
          <w:b/>
          <w:color w:val="000000"/>
          <w:sz w:val="20"/>
        </w:rPr>
        <w:t>Systematic Strategies</w:t>
      </w:r>
      <w:r>
        <w:rPr>
          <w:rFonts w:ascii="Times New Roman;serif" w:hAnsi="Times New Roman;serif"/>
          <w:b w:val="false"/>
          <w:color w:val="000000"/>
          <w:sz w:val="20"/>
        </w:rPr>
        <w:t>, including alpha-seeking and risk-controlled approaches that apply quantitative research, data-driven signals, and disciplined portfolio construction across equity and fixed income markets, as well as passive index, ESG index, and enhanced index solutions designed to provide efficient market exposure.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Organization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AllianceBernstein Corporation (an indirect wholly-owned subsidiary of EQH, “General Partner”) is the general partner of both AllianceBernstein Holding L.P. (“AB Holding”) and AB. AllianceBernstein Corporation owns 100,000 general partnership units in AB Holding and a 1.0% general partnership interest in AB.</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ownership structure of AB, including limited partnership units outstanding as well as the general partner's 1.0% interest, was as follows: </w:t>
      </w:r>
    </w:p>
    <w:p>
      <w:pPr>
        <w:pStyle w:val="TextBody"/>
        <w:bidi w:val="0"/>
        <w:spacing w:before="0" w:after="0"/>
        <w:jc w:val="both"/>
        <w:rPr/>
      </w:pPr>
      <w:r>
        <w:rPr/>
      </w:r>
    </w:p>
    <w:tbl>
      <w:tblPr>
        <w:tblW w:w="3031" w:type="dxa"/>
        <w:jc w:val="left"/>
        <w:tblInd w:w="0" w:type="dxa"/>
        <w:tblLayout w:type="fixed"/>
        <w:tblCellMar>
          <w:top w:w="28" w:type="dxa"/>
          <w:left w:w="28" w:type="dxa"/>
          <w:bottom w:w="28" w:type="dxa"/>
          <w:right w:w="28" w:type="dxa"/>
        </w:tblCellMar>
      </w:tblPr>
      <w:tblGrid>
        <w:gridCol w:w="759"/>
        <w:gridCol w:w="668"/>
        <w:gridCol w:w="672"/>
        <w:gridCol w:w="307"/>
        <w:gridCol w:w="309"/>
        <w:gridCol w:w="316"/>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EQH and its subsidiaries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Holding</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Unaffiliated holders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Including both the general partnership and limited partnership interests in AB Holding and AB, EQH and its subsidiaries had an approximate 68.0% economic interest in AB as of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Basis of Presentation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interim condensed consolidated financial statements have been prepared in accordance with the instructions to Form 10-Q pursuant to the rules and regulations of the U.S. Securities and Exchange Commission (“SEC”). In the opinion of management, all adjustments, consisting only of normal recurring adjustments, necessary for a fair statement of the interim results, have been made. The preparation of the condensed consolidated financial statements requires management to make certain estimates and assumptions that affect the reported amounts of assets and liabilities and disclosure of contingent assets and liabilities at the dates of the condensed consolidated financial statements and the reported amounts of revenues and expenses during the interim reporting periods. Actual results could differ from those estimates. The condensed consolidated statement of financial condition as of December 31, 2025 was derived from audited financial statements. Certain disclosures included in the annual financial statements have been condensed or omitted from these financial statements as they are not required for interim financial statements under principles generally accepted in the United States of America ("GAAP") and the rules of the SEC.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Principles of Consolidation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 AB and its majority-owned and/or controlled subsidiaries, and the consolidated entities that are considered to be variable interest entities (“VIEs”) and/or voting interest entities (“VOEs”) in which AB has a controlling financial interest. Non-controlling interests on the condensed consolidated statements of financial condition include the portion of consolidated company-sponsored investment funds in which we do not have direct equity ownership. All significant inter-company transactions and balances among the consolidated entities have been eliminated.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Reclassification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2026, amounts previously presented on the condensed consolidated statements of income as "contingent payment arrangements" are now presented as part of "amortization of intangible assets." Prior period amounts previously presented as such have been reclassified to conform to the current periods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Subsequent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evaluated subsequent events through the date that these financial statements were filed with the SEC and did not identify any subsequent events that would require disclosure in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2.     Significant Accounting Policies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Accounting Pronouncements Not Yet Adopted</w:t>
      </w:r>
    </w:p>
    <w:p>
      <w:pPr>
        <w:pStyle w:val="TextBody"/>
        <w:bidi w:val="0"/>
        <w:spacing w:lineRule="auto" w:line="288" w:before="12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This amendment is expected to improve financial reporting by requiring that public business entities disclose additional information about specific expense categories in the notes to financial statements at interim and annual reporting periods. This information is not generally presented in the financial statements today. The amendments in this update do not change or remove current expense disclosure requirements. This ASU is effective for annual reporting periods beginning after December 15, 2026, and interim reporting periods beginning after December 15, 2027. Early adoption is permitted. The amendments in this update should be applied either prospectively to financial statements issued for reporting periods after the effective date of this update or retrospectively to any or all periods presented in the financial statements. We are currently evaluating the impacts of the new standard.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3. Revenue Recognition</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Revenues for the three months ended March 31, 2026 and 2025 consisted of the following:</w:t>
      </w:r>
    </w:p>
    <w:tbl>
      <w:tblPr>
        <w:tblW w:w="10205" w:type="dxa"/>
        <w:jc w:val="center"/>
        <w:tblInd w:w="0" w:type="dxa"/>
        <w:tblLayout w:type="fixed"/>
        <w:tblCellMar>
          <w:top w:w="28" w:type="dxa"/>
          <w:left w:w="28" w:type="dxa"/>
          <w:bottom w:w="28" w:type="dxa"/>
          <w:right w:w="28" w:type="dxa"/>
        </w:tblCellMar>
      </w:tblPr>
      <w:tblGrid>
        <w:gridCol w:w="2077"/>
        <w:gridCol w:w="1728"/>
        <w:gridCol w:w="1660"/>
        <w:gridCol w:w="109"/>
        <w:gridCol w:w="109"/>
        <w:gridCol w:w="109"/>
        <w:gridCol w:w="109"/>
        <w:gridCol w:w="109"/>
        <w:gridCol w:w="178"/>
        <w:gridCol w:w="178"/>
        <w:gridCol w:w="346"/>
        <w:gridCol w:w="1628"/>
        <w:gridCol w:w="178"/>
        <w:gridCol w:w="109"/>
        <w:gridCol w:w="109"/>
        <w:gridCol w:w="109"/>
        <w:gridCol w:w="211"/>
        <w:gridCol w:w="991"/>
        <w:gridCol w:w="158"/>
      </w:tblGrid>
      <w:tr>
        <w:trPr/>
        <w:tc>
          <w:tcPr>
            <w:tcW w:w="2077"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687" w:type="dxa"/>
            <w:gridSpan w:val="6"/>
            <w:tcBorders/>
          </w:tcPr>
          <w:p>
            <w:pPr>
              <w:pStyle w:val="TableContents"/>
              <w:bidi w:val="0"/>
              <w:spacing w:before="0" w:after="283"/>
              <w:jc w:val="left"/>
              <w:rPr>
                <w:sz w:val="4"/>
                <w:szCs w:val="4"/>
              </w:rPr>
            </w:pPr>
            <w:r>
              <w:rPr>
                <w:sz w:val="4"/>
                <w:szCs w:val="4"/>
              </w:rPr>
            </w:r>
          </w:p>
        </w:tc>
      </w:tr>
      <w:tr>
        <w:trPr/>
        <w:tc>
          <w:tcPr>
            <w:tcW w:w="5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5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Subject to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 advisory and services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849,182 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817,866 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Performance-based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5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Distribution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All-in-management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12b-1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distribution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97,244 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Shareholder servicing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JV related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1,152,646 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1,083,871 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subject to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Dividend and interest income, net of broker-dealer related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1,201,726</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1,080,607</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4.    Long-term Incentive Compensation Plans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several unfunded, non-qualified long-term incentive compensation plans, under which we grant annual awards to employees, generally in the fourth quarter, and to members of the Board of Directors of the General Partner, who are not employed by our company or by any of our affiliates (“Eligible Directors”). </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AB Holding Units are maintained in a consolidated rabbi trust either by purchasing AB Holding Units on the open market or by purchasing newly-issued AB Holding Units from AB Holding until delivering them or retiring them. In accordance with the Amended and Restated Agreement of Limited Partnership of AB (“AB Partnership Agreement”), when AB purchases newly-issued AB Holding Units from AB Holding, AB Holding is required to use the proceeds it receives from AB to purchase the equivalent number of newly-issued AB Units, thus increasing its percentage ownership interest in AB.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Holding Units held in the consolidated rabbi trust are corporate assets in the name of the trust and are available to the general creditors of AB.</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Repurchases of AB Holding Units for the three months ended March 31, 2026 and 2025 consisted of the following:</w:t>
      </w:r>
    </w:p>
    <w:tbl>
      <w:tblPr>
        <w:tblW w:w="10102" w:type="dxa"/>
        <w:jc w:val="left"/>
        <w:tblInd w:w="0" w:type="dxa"/>
        <w:tblLayout w:type="fixed"/>
        <w:tblCellMar>
          <w:top w:w="28" w:type="dxa"/>
          <w:left w:w="28" w:type="dxa"/>
          <w:bottom w:w="28" w:type="dxa"/>
          <w:right w:w="28" w:type="dxa"/>
        </w:tblCellMar>
      </w:tblPr>
      <w:tblGrid>
        <w:gridCol w:w="2013"/>
        <w:gridCol w:w="1770"/>
        <w:gridCol w:w="1782"/>
        <w:gridCol w:w="109"/>
        <w:gridCol w:w="109"/>
        <w:gridCol w:w="109"/>
        <w:gridCol w:w="109"/>
        <w:gridCol w:w="109"/>
        <w:gridCol w:w="322"/>
        <w:gridCol w:w="322"/>
        <w:gridCol w:w="623"/>
        <w:gridCol w:w="1200"/>
        <w:gridCol w:w="322"/>
        <w:gridCol w:w="109"/>
        <w:gridCol w:w="109"/>
        <w:gridCol w:w="109"/>
        <w:gridCol w:w="211"/>
        <w:gridCol w:w="511"/>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203" w:type="dxa"/>
            <w:gridSpan w:val="6"/>
            <w:tcBorders/>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34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amount of AB Holding Units Purchased/Retained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Total Cash Paid for AB Holding Units Purchased/Retained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Open Market Purchases of AB Holding Units Purchased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Cash Paid for Open Market Purchases of AB Holding Units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2"/>
        </w:rPr>
        <w:t>(1)    </w:t>
      </w:r>
      <w:r>
        <w:rPr>
          <w:rFonts w:ascii="Times New Roman;serif" w:hAnsi="Times New Roman;serif"/>
          <w:b w:val="false"/>
          <w:color w:val="000000"/>
          <w:sz w:val="18"/>
        </w:rPr>
        <w:t>Purchased on a trade date basis. The difference between open-market purchases and units retained reflects the retention of AB Holding Units from employees to fulfill statutory tax withholding requirements at the time of delivery of long-term incentive compensation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Purchases of AB Holding Units reflected on the condensed consolidated statements of cash flows are net of AB Holding Unit purchases by employees as part of a distribution reinvestment election.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quarter, we consider whether to implement a plan to repurchase AB Holding Units pursuant to Rules 10b5-1 and 10b-18 under the Securities Exchange Act of 1934, as amended ("Exchange Act"). A plan of this type allows a company to repurchase its shares at times when it otherwise might be prevented from doing so because of self-imposed trading blackout periods or because it possesses material non-public information. Each broker we select has the authority under the terms and limitations specified in the plan to repurchase AB Holding Units on our behalf. Repurchases are subject to regulations promulgated by the SEC as well as certain price, market volume and timing constraints specified in the plan. The plan adopted during the first quarter of 2026 expired at the close of business on April 27, 2026. We may adopt additional plans in the future to engage in open-market purchases of AB Holding Units for anticipated obligations under our incentive compensation award program and for other corporate purposes.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three months of 2026 and 2025, we awarded to employees and Eligible Directors 1.4 million and 1.0 million restricted AB Holding Unit awards, respectively. We use AB Holding Units repurchased during the applicable period and newly-issued AB Holding Units for these awards.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5.     Net Income per Unit </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per Unit is derived by reducing net income for the 1.0% general partnership interest and dividing the remaining 99.0% by the weighted average number of limited partnership units outstanding for each period. Diluted net income per Unit is equivalent to net income per Unit, as there are no outstanding instruments that have a dilutive effect.</w:t>
      </w:r>
    </w:p>
    <w:tbl>
      <w:tblPr>
        <w:tblW w:w="9578" w:type="dxa"/>
        <w:jc w:val="left"/>
        <w:tblInd w:w="0" w:type="dxa"/>
        <w:tblLayout w:type="fixed"/>
        <w:tblCellMar>
          <w:top w:w="28" w:type="dxa"/>
          <w:left w:w="28" w:type="dxa"/>
          <w:bottom w:w="28" w:type="dxa"/>
          <w:right w:w="28" w:type="dxa"/>
        </w:tblCellMar>
      </w:tblPr>
      <w:tblGrid>
        <w:gridCol w:w="1709"/>
        <w:gridCol w:w="1504"/>
        <w:gridCol w:w="1512"/>
        <w:gridCol w:w="109"/>
        <w:gridCol w:w="109"/>
        <w:gridCol w:w="109"/>
        <w:gridCol w:w="109"/>
        <w:gridCol w:w="109"/>
        <w:gridCol w:w="223"/>
        <w:gridCol w:w="223"/>
        <w:gridCol w:w="431"/>
        <w:gridCol w:w="1690"/>
        <w:gridCol w:w="223"/>
        <w:gridCol w:w="109"/>
        <w:gridCol w:w="109"/>
        <w:gridCol w:w="109"/>
        <w:gridCol w:w="211"/>
        <w:gridCol w:w="826"/>
        <w:gridCol w:w="154"/>
      </w:tblGrid>
      <w:tr>
        <w:trPr/>
        <w:tc>
          <w:tcPr>
            <w:tcW w:w="170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unit amounts)</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AB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295,485 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limited partnership Units outstanding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293,729 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AB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9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2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0.75</w:t>
            </w:r>
            <w:r>
              <w:rPr>
                <w:color w:val="000000"/>
              </w:rPr>
              <w:t>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6. Cash Distributions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AB is required to distribute all of its Available Cash Flow, as defined in the AB Partnership Agreement, to its Unitholders and to the General Partner. Available Cash Flow can be summarized as the cash flow received by AB from operations minus such amounts as the General Partner determines, in its sole discretion, should be retained by AB for use in its business, or plus such amounts as the General Partner determines, in its sole discretion, should be released from previously retained cash flow.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Typically, Available Cash Flow has been the adjusted net income per Unit for the quarter multiplied by the number of general and limited partnership interests at the end of the quarter. Management anticipates that Available Cash Flow will continue to be based on adjusted net income per Unit. If management determines, with the concurrence of the Board of Directors, that certain adjustments to Available Cash Flow are necessary or unnecessary, such adjustments will be made in future periods.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28, 2026, the General Partner declared a distribution of $0.90 per AB Unit, representing a distribution of Available Cash Flow for the three months ended March 31, 2026. The General Partner, as a result of its 1.0% general partnership interest, is entitled to receive 1.0% of each distribution. The distribution is payable on May 21, 2026 to holders of record on May 8,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7.     Cash and Securities Segregated Under Federal Regulations and Other Requirements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$350.1 million and $498.6 million, respectively, of U.S. Treasury Bills were segregated in a special reserve bank custody account for the exclusive benefit of our brokerage customers under Rule 15c3-3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8.     Investments </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consist of:</w:t>
      </w:r>
    </w:p>
    <w:tbl>
      <w:tblPr>
        <w:tblW w:w="6782" w:type="dxa"/>
        <w:jc w:val="left"/>
        <w:tblInd w:w="0" w:type="dxa"/>
        <w:tblLayout w:type="fixed"/>
        <w:tblCellMar>
          <w:top w:w="28" w:type="dxa"/>
          <w:left w:w="28" w:type="dxa"/>
          <w:bottom w:w="28" w:type="dxa"/>
          <w:right w:w="28" w:type="dxa"/>
        </w:tblCellMar>
      </w:tblPr>
      <w:tblGrid>
        <w:gridCol w:w="1444"/>
        <w:gridCol w:w="1270"/>
        <w:gridCol w:w="1276"/>
        <w:gridCol w:w="211"/>
        <w:gridCol w:w="841"/>
        <w:gridCol w:w="109"/>
        <w:gridCol w:w="109"/>
        <w:gridCol w:w="109"/>
        <w:gridCol w:w="109"/>
        <w:gridCol w:w="228"/>
        <w:gridCol w:w="910"/>
        <w:gridCol w:w="166"/>
      </w:tblGrid>
      <w:tr>
        <w:trPr/>
        <w:tc>
          <w:tcPr>
            <w:tcW w:w="144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Long-term incentive compensation-related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Seed capital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limited partnership hedge funds: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compensation-related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Seed capital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Joint ventures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equity method 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433,443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531,013</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Total investments related to long-term incentive compensation obligations of</w:t>
      </w:r>
      <w:r>
        <w:rPr>
          <w:color w:val="000000"/>
          <w:shd w:fill="FFFFFF" w:val="clear"/>
        </w:rPr>
        <w:t xml:space="preserve"> </w:t>
      </w:r>
      <w:r>
        <w:rPr>
          <w:rFonts w:ascii="Times New Roman;serif" w:hAnsi="Times New Roman;serif"/>
          <w:b w:val="false"/>
          <w:color w:val="000000"/>
          <w:sz w:val="20"/>
          <w:shd w:fill="FFFFFF" w:val="clear"/>
        </w:rPr>
        <w:t xml:space="preserve">$41.5 million </w:t>
      </w:r>
      <w:r>
        <w:rPr>
          <w:rFonts w:ascii="Times New Roman;serif" w:hAnsi="Times New Roman;serif"/>
          <w:b w:val="false"/>
          <w:color w:val="000000"/>
          <w:sz w:val="20"/>
        </w:rPr>
        <w:t xml:space="preserve">and $54.1 million as of March 31, 2026 and December 31, 2025, respectively, consist of company-sponsored mutual funds and hedge funds. For long-term incentive compensation awards granted before 2009, we typically made investments in company-sponsored mutual funds and hedge funds that were notionally elected by plan participants and maintained them (and continue to maintain them) in a consolidated rabbi trust or separate custodial account. The rabbi trust and custodial account enable us to hold such investments separate from our other assets for the purpose of settling our obligations to participants. The investments held in the rabbi trust and custodial account remain available to the general creditors of AB. </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The underlying investments of hedge funds in which we invest include long and short positions in equity securities, fixed income securities (including various agency and non-agency asset-based securities), currencies, commodities and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derivatives (including various swaps and forward contracts). These investments are valued at quoted market prices or, where quoted market prices are not available, are fair valued based on the pricing policies and procedures of the underlying funds.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We allocate seed capital to our investment teams to help develop new products and services for our clients. A portion of our seed capital trading investments are equity and fixed income products, primarily in the form of separately-managed account portfolios, U.S. mutual funds, Luxembourg funds, Japanese investment trust management funds or Delaware business trusts. We also may allocate seed capital to investments in private equity funds and other private alternative investment vehicles. Regarding our seed capital investments, the amounts above reflect those funds in which we are not the primary beneficiary of a VIE or hold a controlling financial interest in a VOE. </w:t>
      </w:r>
      <w:r>
        <w:rPr>
          <w:rFonts w:ascii="Times New Roman;serif" w:hAnsi="Times New Roman;serif"/>
          <w:b w:val="false"/>
          <w:i/>
          <w:color w:val="000000"/>
          <w:sz w:val="20"/>
        </w:rPr>
        <w:t>See Note 14, Consolidated Company-Sponsored Investment Funds</w:t>
      </w:r>
      <w:r>
        <w:rPr>
          <w:rFonts w:ascii="Times New Roman;serif" w:hAnsi="Times New Roman;serif"/>
          <w:b w:val="false"/>
          <w:color w:val="000000"/>
          <w:sz w:val="20"/>
        </w:rPr>
        <w:t>, for a description of the seed capital investments that we consolidate. As of March 31, 2026 and December 31, 2025, our total seed capital investments were $340.1 million and $372.1 million, respectively. Seed capital investments in unconsolidated company-sponsored investment funds are valued using published net asset values or non-published net asset values if they are not listed on an active exchange but have net asset values that are comparable to funds with published net asset values and have no redemption restrictions.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 in the joint venture on the condensed consolidated statement of financial condition is accounted for under the equity method of accounting.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portion of unrealized gains (losses) related to equity securities, as defined by ASC 321-10, held as of March 31, 2026 and 2025 were as follows: </w:t>
      </w:r>
    </w:p>
    <w:tbl>
      <w:tblPr>
        <w:tblW w:w="10205" w:type="dxa"/>
        <w:jc w:val="left"/>
        <w:tblInd w:w="0" w:type="dxa"/>
        <w:tblLayout w:type="fixed"/>
        <w:tblCellMar>
          <w:top w:w="28" w:type="dxa"/>
          <w:left w:w="28" w:type="dxa"/>
          <w:bottom w:w="28" w:type="dxa"/>
          <w:right w:w="28" w:type="dxa"/>
        </w:tblCellMar>
      </w:tblPr>
      <w:tblGrid>
        <w:gridCol w:w="2187"/>
        <w:gridCol w:w="1916"/>
        <w:gridCol w:w="1922"/>
        <w:gridCol w:w="109"/>
        <w:gridCol w:w="109"/>
        <w:gridCol w:w="109"/>
        <w:gridCol w:w="220"/>
        <w:gridCol w:w="220"/>
        <w:gridCol w:w="427"/>
        <w:gridCol w:w="1390"/>
        <w:gridCol w:w="220"/>
        <w:gridCol w:w="109"/>
        <w:gridCol w:w="109"/>
        <w:gridCol w:w="109"/>
        <w:gridCol w:w="211"/>
        <w:gridCol w:w="679"/>
        <w:gridCol w:w="159"/>
      </w:tblGrid>
      <w:tr>
        <w:trPr/>
        <w:tc>
          <w:tcPr>
            <w:tcW w:w="2187"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376" w:type="dxa"/>
            <w:gridSpan w:val="6"/>
            <w:tcBorders/>
          </w:tcPr>
          <w:p>
            <w:pPr>
              <w:pStyle w:val="TableContents"/>
              <w:bidi w:val="0"/>
              <w:spacing w:before="0" w:after="283"/>
              <w:jc w:val="left"/>
              <w:rPr>
                <w:sz w:val="4"/>
                <w:szCs w:val="4"/>
              </w:rPr>
            </w:pPr>
            <w:r>
              <w:rPr>
                <w:sz w:val="4"/>
                <w:szCs w:val="4"/>
              </w:rPr>
            </w:r>
          </w:p>
        </w:tc>
      </w:tr>
      <w:tr>
        <w:trPr/>
        <w:tc>
          <w:tcPr>
            <w:tcW w:w="6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3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gains recognized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1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(2,245)</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gains recognized during the period on equity securities sold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4,332 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Unrealized (losses) gains recognized during the period on equity securities held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shd w:fill="CCEEFF" w:val="clear"/>
              </w:rPr>
            </w:pPr>
            <w:r>
              <w:rPr>
                <w:rFonts w:ascii="Times New Roman;serif" w:hAnsi="Times New Roman;serif"/>
                <w:b/>
                <w:color w:val="000000"/>
                <w:sz w:val="20"/>
                <w:shd w:fill="CCEEFF" w:val="clear"/>
              </w:rPr>
              <w:t>$</w:t>
            </w:r>
          </w:p>
        </w:tc>
        <w:tc>
          <w:tcPr>
            <w:tcW w:w="1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shd w:fill="CCEEFF" w:val="clear"/>
              </w:rPr>
            </w:pPr>
            <w:r>
              <w:rPr>
                <w:rFonts w:ascii="Times New Roman;serif" w:hAnsi="Times New Roman;serif"/>
                <w:b/>
                <w:color w:val="000000"/>
                <w:sz w:val="20"/>
                <w:shd w:fill="CCEEFF" w:val="clear"/>
              </w:rPr>
              <w:t>(6,577)</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(4,657)</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9.     Derivative Instruments </w:t>
      </w:r>
    </w:p>
    <w:p>
      <w:pPr>
        <w:pStyle w:val="TextBody"/>
        <w:bidi w:val="0"/>
        <w:spacing w:before="0" w:after="0"/>
        <w:ind w:left="0" w:right="0" w:hanging="360"/>
        <w:jc w:val="left"/>
        <w:rPr/>
      </w:pPr>
      <w:r>
        <w:rPr/>
      </w:r>
    </w:p>
    <w:p>
      <w:pPr>
        <w:pStyle w:val="TextBody"/>
        <w:bidi w:val="0"/>
        <w:spacing w:lineRule="auto" w:line="288" w:before="0" w:after="0"/>
        <w:jc w:val="both"/>
        <w:rPr/>
      </w:pPr>
      <w:r>
        <w:rPr>
          <w:rFonts w:ascii="Times New Roman;serif" w:hAnsi="Times New Roman;serif"/>
          <w:b w:val="false"/>
          <w:i/>
          <w:color w:val="000000"/>
          <w:sz w:val="20"/>
        </w:rPr>
        <w:t>See Note 14, Consolidated Company-Sponsored Investment Funds</w:t>
      </w:r>
      <w:r>
        <w:rPr>
          <w:rFonts w:ascii="Times New Roman;serif" w:hAnsi="Times New Roman;serif"/>
          <w:b w:val="false"/>
          <w:color w:val="000000"/>
          <w:sz w:val="20"/>
        </w:rPr>
        <w:t>, for disclosure of derivative instruments held by our consolidated company-sponsored investment funds.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enter various futures, forwards, options and swaps to economically hedge certain seed capital investments. Also, we have currency forwards that help us to economically hedge certain balance sheet exposures. We do not hold any derivatives designated in a formal hedge relationship under ASC 815-10, </w:t>
      </w:r>
      <w:r>
        <w:rPr>
          <w:rFonts w:ascii="Times New Roman;serif" w:hAnsi="Times New Roman;serif"/>
          <w:b w:val="false"/>
          <w:i/>
          <w:color w:val="000000"/>
          <w:sz w:val="20"/>
        </w:rPr>
        <w:t>Derivatives and Hedging</w:t>
      </w:r>
      <w:r>
        <w:rPr>
          <w:rFonts w:ascii="Times New Roman;serif" w:hAnsi="Times New Roman;serif"/>
          <w:b w:val="false"/>
          <w:color w:val="000000"/>
          <w:sz w:val="20"/>
        </w:rPr>
        <w:t xml:space="preserve">. </w:t>
      </w:r>
    </w:p>
    <w:p>
      <w:pPr>
        <w:pStyle w:val="TextBody"/>
        <w:bidi w:val="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0"/>
        </w:rPr>
        <w:t xml:space="preserve">The notional value and fair value as of March 31, 2026 and December 31, 2025 for derivative instruments (excluding derivative instruments relating to our options desk trading activities </w:t>
      </w:r>
      <w:r>
        <w:rPr>
          <w:rFonts w:ascii="Times New Roman;serif" w:hAnsi="Times New Roman;serif"/>
          <w:b w:val="false"/>
          <w:i/>
          <w:color w:val="000000"/>
          <w:sz w:val="20"/>
        </w:rPr>
        <w:t>discussed below</w:t>
      </w:r>
      <w:r>
        <w:rPr>
          <w:rFonts w:ascii="Times New Roman;serif" w:hAnsi="Times New Roman;serif"/>
          <w:b w:val="false"/>
          <w:color w:val="000000"/>
          <w:sz w:val="20"/>
        </w:rPr>
        <w:t xml:space="preserve">) not designated as hedging instruments were as follows: </w:t>
      </w:r>
    </w:p>
    <w:tbl>
      <w:tblPr>
        <w:tblW w:w="7655" w:type="dxa"/>
        <w:jc w:val="left"/>
        <w:tblInd w:w="0" w:type="dxa"/>
        <w:tblLayout w:type="fixed"/>
        <w:tblCellMar>
          <w:top w:w="28" w:type="dxa"/>
          <w:left w:w="28" w:type="dxa"/>
          <w:bottom w:w="28" w:type="dxa"/>
          <w:right w:w="28" w:type="dxa"/>
        </w:tblCellMar>
      </w:tblPr>
      <w:tblGrid>
        <w:gridCol w:w="760"/>
        <w:gridCol w:w="668"/>
        <w:gridCol w:w="671"/>
        <w:gridCol w:w="250"/>
        <w:gridCol w:w="1000"/>
        <w:gridCol w:w="129"/>
        <w:gridCol w:w="109"/>
        <w:gridCol w:w="109"/>
        <w:gridCol w:w="109"/>
        <w:gridCol w:w="311"/>
        <w:gridCol w:w="1087"/>
        <w:gridCol w:w="161"/>
        <w:gridCol w:w="109"/>
        <w:gridCol w:w="109"/>
        <w:gridCol w:w="109"/>
        <w:gridCol w:w="376"/>
        <w:gridCol w:w="1314"/>
        <w:gridCol w:w="27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Liabilities</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Exchange-traded futures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forwards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80,275 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default swaps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331,244 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return swaps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151,692 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 swaps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803,456</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19,718</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14,109</w:t>
            </w:r>
            <w:r>
              <w:rPr>
                <w:color w:val="000000"/>
              </w:rPr>
              <w:t>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Exchange-traded futures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forwards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default swaps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return swaps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 swaps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876,144</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12,985</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17,615</w:t>
            </w:r>
            <w:r>
              <w:rPr>
                <w:color w:val="000000"/>
              </w:rPr>
              <w:t>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derivative assets and liabilities are included in both receivables and payables to brokers and dealers on our condensed consolidated statements of financial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gains and losses for derivative instruments for the three months ended March 31, 2026 and 2025 recognized in investment gains (losses) in the condensed consolidated statements of income were as follows: </w:t>
      </w:r>
    </w:p>
    <w:tbl>
      <w:tblPr>
        <w:tblW w:w="7599" w:type="dxa"/>
        <w:jc w:val="left"/>
        <w:tblInd w:w="0" w:type="dxa"/>
        <w:tblLayout w:type="fixed"/>
        <w:tblCellMar>
          <w:top w:w="28" w:type="dxa"/>
          <w:left w:w="28" w:type="dxa"/>
          <w:bottom w:w="28" w:type="dxa"/>
          <w:right w:w="28" w:type="dxa"/>
        </w:tblCellMar>
      </w:tblPr>
      <w:tblGrid>
        <w:gridCol w:w="1125"/>
        <w:gridCol w:w="989"/>
        <w:gridCol w:w="990"/>
        <w:gridCol w:w="109"/>
        <w:gridCol w:w="109"/>
        <w:gridCol w:w="260"/>
        <w:gridCol w:w="260"/>
        <w:gridCol w:w="503"/>
        <w:gridCol w:w="1506"/>
        <w:gridCol w:w="260"/>
        <w:gridCol w:w="109"/>
        <w:gridCol w:w="109"/>
        <w:gridCol w:w="109"/>
        <w:gridCol w:w="211"/>
        <w:gridCol w:w="796"/>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88" w:type="dxa"/>
            <w:gridSpan w:val="6"/>
            <w:tcBorders/>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Exchange-traded futures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forwards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default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return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gains on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3,802</w:t>
            </w:r>
            <w:r>
              <w:rPr>
                <w:color w:val="000000"/>
              </w:rPr>
              <w:t>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(12,776)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be exposed to credit-related losses in the event of non-performance by counterparties to derivative financial instruments. We minimize our counterparty exposure through a credit review and approval process. In addition, we have executed various collateral arrangements with counterparties to the over-the-counter derivative transactions that require both pledging and accepting collateral in the form of cash. As of March 31, 2026 and December 31, 2025, we held $6.8 million and $5.5 million, respectively, of cash collateral payable to trade counterparties. This obligation to return cash is reported in payables to brokers and dealers in our condensed consolidated statements of financial condition. </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Although notional amount typically is utilized as the measure of volume in the derivatives market, it is not used as a measure of credit risk. Generally, the current credit exposure of our derivative contracts is limited to the net positive estimated fair value of derivative contracts at the reporting date after taking into consideration the existence of netting agreements and any collateral received. A derivative with positive value (a derivative asset) indicates existence of credit risk because the counterparty would owe us if the contract were closed. Alternatively, a derivative contract with negative value (a derivative liability) indicates we would owe money to the counterparty if the contract were closed. Generally, if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is more than one derivative transaction with a single counterparty, a master netting arrangement exists with respect to derivative transactions with that counterparty to provide for aggregate net settlement.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standardized contracts for over-the-counter derivative transactions, known as ISDA master agreements, provide for collateralization. As of March 31, 2026 and December 31, 2025, we delivered $13.0 million and $10.3 million, respectively, of cash collateral into brokerage accounts. We report this cash collateral in cash and cash equivalents in our condensed consolidated statement of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10.     Offsetting Assets and Liabilities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See Note 14, Consolidated Company-Sponsored Investment Funds</w:t>
      </w:r>
      <w:r>
        <w:rPr>
          <w:rFonts w:ascii="Times New Roman;serif" w:hAnsi="Times New Roman;serif"/>
          <w:b w:val="false"/>
          <w:color w:val="000000"/>
          <w:sz w:val="20"/>
        </w:rPr>
        <w:t>, for disclosure of offsetting assets and liabilities of our consolidated company-sponsored investment funds.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Offsetting of assets as of March 31, 2026 and December 31, 2025 was as follows: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13"/>
        <w:gridCol w:w="252"/>
        <w:gridCol w:w="254"/>
        <w:gridCol w:w="258"/>
        <w:gridCol w:w="883"/>
        <w:gridCol w:w="134"/>
        <w:gridCol w:w="109"/>
        <w:gridCol w:w="109"/>
        <w:gridCol w:w="109"/>
        <w:gridCol w:w="391"/>
        <w:gridCol w:w="755"/>
        <w:gridCol w:w="204"/>
        <w:gridCol w:w="109"/>
        <w:gridCol w:w="109"/>
        <w:gridCol w:w="109"/>
        <w:gridCol w:w="307"/>
        <w:gridCol w:w="1052"/>
        <w:gridCol w:w="159"/>
        <w:gridCol w:w="109"/>
        <w:gridCol w:w="109"/>
        <w:gridCol w:w="109"/>
        <w:gridCol w:w="227"/>
        <w:gridCol w:w="852"/>
        <w:gridCol w:w="117"/>
        <w:gridCol w:w="109"/>
        <w:gridCol w:w="109"/>
        <w:gridCol w:w="109"/>
        <w:gridCol w:w="219"/>
        <w:gridCol w:w="686"/>
        <w:gridCol w:w="113"/>
        <w:gridCol w:w="109"/>
        <w:gridCol w:w="109"/>
        <w:gridCol w:w="109"/>
        <w:gridCol w:w="211"/>
        <w:gridCol w:w="721"/>
        <w:gridCol w:w="162"/>
      </w:tblGrid>
      <w:tr>
        <w:trPr/>
        <w:tc>
          <w:tcPr>
            <w:tcW w:w="61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 Recognized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Offset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Amounts of Assets Presented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br/>
              <w:t>Instruments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br/>
              <w:t>Amount</w:t>
            </w:r>
          </w:p>
        </w:tc>
      </w:tr>
      <w:tr>
        <w:trPr/>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March 31, 2026:</w:t>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borrowed</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borrowed</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Offsetting of liabilities as of March 31, 2026 and December 31, 2025 was as follows: </w:t>
      </w:r>
    </w:p>
    <w:tbl>
      <w:tblPr>
        <w:tblW w:w="10205" w:type="dxa"/>
        <w:jc w:val="left"/>
        <w:tblInd w:w="0" w:type="dxa"/>
        <w:tblLayout w:type="fixed"/>
        <w:tblCellMar>
          <w:top w:w="28" w:type="dxa"/>
          <w:left w:w="28" w:type="dxa"/>
          <w:bottom w:w="28" w:type="dxa"/>
          <w:right w:w="28" w:type="dxa"/>
        </w:tblCellMar>
      </w:tblPr>
      <w:tblGrid>
        <w:gridCol w:w="557"/>
        <w:gridCol w:w="308"/>
        <w:gridCol w:w="252"/>
        <w:gridCol w:w="263"/>
        <w:gridCol w:w="901"/>
        <w:gridCol w:w="137"/>
        <w:gridCol w:w="109"/>
        <w:gridCol w:w="109"/>
        <w:gridCol w:w="109"/>
        <w:gridCol w:w="386"/>
        <w:gridCol w:w="746"/>
        <w:gridCol w:w="201"/>
        <w:gridCol w:w="109"/>
        <w:gridCol w:w="109"/>
        <w:gridCol w:w="109"/>
        <w:gridCol w:w="310"/>
        <w:gridCol w:w="1062"/>
        <w:gridCol w:w="160"/>
        <w:gridCol w:w="109"/>
        <w:gridCol w:w="109"/>
        <w:gridCol w:w="109"/>
        <w:gridCol w:w="345"/>
        <w:gridCol w:w="666"/>
        <w:gridCol w:w="180"/>
        <w:gridCol w:w="109"/>
        <w:gridCol w:w="109"/>
        <w:gridCol w:w="109"/>
        <w:gridCol w:w="216"/>
        <w:gridCol w:w="762"/>
        <w:gridCol w:w="111"/>
        <w:gridCol w:w="109"/>
        <w:gridCol w:w="109"/>
        <w:gridCol w:w="109"/>
        <w:gridCol w:w="214"/>
        <w:gridCol w:w="625"/>
        <w:gridCol w:w="168"/>
      </w:tblGrid>
      <w:tr>
        <w:trPr/>
        <w:tc>
          <w:tcPr>
            <w:tcW w:w="55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 Recognized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Offset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Amounts of Liabilities Presented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br/>
              <w:t>Instruments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w:t>
            </w:r>
          </w:p>
        </w:tc>
      </w:tr>
      <w:tr>
        <w:trPr/>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8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March 31, 2026:</w:t>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loaned</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loaned</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collateral, whether pledged or received on derivative instruments, is not considered material and, accordingly, is not disclosed by counterparty.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11.     Fair Value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See Note 14, Consolidated Company-Sponsored Investment Funds</w:t>
      </w:r>
      <w:r>
        <w:rPr>
          <w:rFonts w:ascii="Times New Roman;serif" w:hAnsi="Times New Roman;serif"/>
          <w:b w:val="false"/>
          <w:color w:val="000000"/>
          <w:sz w:val="20"/>
        </w:rPr>
        <w:t>, for disclosure of fair value of our consolidated company-sponsored investment funds.</w:t>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0"/>
        </w:rPr>
        <w:t>Fair value is defined as the price that would be received to sell an asset or paid to transfer a liability (</w:t>
      </w:r>
      <w:r>
        <w:rPr>
          <w:rFonts w:ascii="Times New Roman;serif" w:hAnsi="Times New Roman;serif"/>
          <w:b w:val="false"/>
          <w:i/>
          <w:color w:val="000000"/>
          <w:sz w:val="20"/>
        </w:rPr>
        <w:t>i.e.</w:t>
      </w:r>
      <w:r>
        <w:rPr>
          <w:rFonts w:ascii="Times New Roman;serif" w:hAnsi="Times New Roman;serif"/>
          <w:b w:val="false"/>
          <w:color w:val="000000"/>
          <w:sz w:val="20"/>
        </w:rPr>
        <w:t xml:space="preserve">, the “exit price”) in an orderly transaction between market participants at the measurement date. The three broad levels of fair value hierarchy are as follows: </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Level 1 – Quoted prices in active markets are available for identical assets or liabilities as of the reported date. </w:t>
      </w:r>
    </w:p>
    <w:p>
      <w:pPr>
        <w:pStyle w:val="TextBody"/>
        <w:bidi w:val="0"/>
        <w:spacing w:before="0" w:after="0"/>
        <w:jc w:val="both"/>
        <w:rPr/>
      </w:pPr>
      <w:r>
        <w:rPr/>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 xml:space="preserve">Level 2 – Quoted prices in markets that are not active or other pricing inputs that are either directly or indirectly observable as of the reported date. </w:t>
      </w:r>
    </w:p>
    <w:p>
      <w:pPr>
        <w:pStyle w:val="TextBody"/>
        <w:bidi w:val="0"/>
        <w:spacing w:before="0" w:after="0"/>
        <w:jc w:val="both"/>
        <w:rPr/>
      </w:pPr>
      <w:r>
        <w:rPr/>
      </w:r>
    </w:p>
    <w:p>
      <w:pPr>
        <w:pStyle w:val="TextBody"/>
        <w:bidi w:val="0"/>
        <w:spacing w:lineRule="auto" w:line="288" w:before="0" w:after="180"/>
        <w:ind w:left="0" w:right="0" w:hanging="360"/>
        <w:jc w:val="both"/>
        <w:rPr>
          <w:color w:val="000000"/>
        </w:rPr>
      </w:pPr>
      <w:r>
        <w:rPr>
          <w:color w:val="000000"/>
        </w:rPr>
        <w:t>•    </w:t>
      </w:r>
      <w:r>
        <w:rPr>
          <w:rFonts w:ascii="Times New Roman;serif" w:hAnsi="Times New Roman;serif"/>
          <w:b w:val="false"/>
          <w:color w:val="000000"/>
          <w:sz w:val="20"/>
        </w:rPr>
        <w:t xml:space="preserve">Level 3 – Prices or valuation techniques that are both significant to the fair value measurement and unobservable as of the reported date. These financial instruments do not have two-way markets and are measured using management’s best estimate of fair value, where the inputs into the determination of fair value require significant management judgment or estimation.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Assets and Liabilities Measured at Fair Value on a Recurring Basis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Valuation of our financial instruments by pricing observability levels as of March 31, 2026 and December 31, 2025 was as follows (in thousands): </w:t>
      </w:r>
    </w:p>
    <w:tbl>
      <w:tblPr>
        <w:tblW w:w="10205" w:type="dxa"/>
        <w:jc w:val="left"/>
        <w:tblInd w:w="0" w:type="dxa"/>
        <w:tblLayout w:type="fixed"/>
        <w:tblCellMar>
          <w:top w:w="28" w:type="dxa"/>
          <w:left w:w="28" w:type="dxa"/>
          <w:bottom w:w="28" w:type="dxa"/>
          <w:right w:w="28" w:type="dxa"/>
        </w:tblCellMar>
      </w:tblPr>
      <w:tblGrid>
        <w:gridCol w:w="1112"/>
        <w:gridCol w:w="841"/>
        <w:gridCol w:w="845"/>
        <w:gridCol w:w="211"/>
        <w:gridCol w:w="841"/>
        <w:gridCol w:w="109"/>
        <w:gridCol w:w="109"/>
        <w:gridCol w:w="109"/>
        <w:gridCol w:w="109"/>
        <w:gridCol w:w="211"/>
        <w:gridCol w:w="841"/>
        <w:gridCol w:w="109"/>
        <w:gridCol w:w="109"/>
        <w:gridCol w:w="109"/>
        <w:gridCol w:w="109"/>
        <w:gridCol w:w="211"/>
        <w:gridCol w:w="631"/>
        <w:gridCol w:w="109"/>
        <w:gridCol w:w="109"/>
        <w:gridCol w:w="109"/>
        <w:gridCol w:w="109"/>
        <w:gridCol w:w="406"/>
        <w:gridCol w:w="782"/>
        <w:gridCol w:w="211"/>
        <w:gridCol w:w="109"/>
        <w:gridCol w:w="109"/>
        <w:gridCol w:w="109"/>
        <w:gridCol w:w="109"/>
        <w:gridCol w:w="109"/>
        <w:gridCol w:w="211"/>
        <w:gridCol w:w="841"/>
        <w:gridCol w:w="157"/>
      </w:tblGrid>
      <w:tr>
        <w:trPr/>
        <w:tc>
          <w:tcPr>
            <w:tcW w:w="111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NAV Expedient</w:t>
            </w:r>
            <w:r>
              <w:rPr>
                <w:rFonts w:ascii="Times New Roman;serif" w:hAnsi="Times New Roman;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March 31, 2026:</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segregated (U.S. Treasury Bills)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246,795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420,574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667,528</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payment arrangements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22,756</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segregated (U.S. Treasury Bills)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330,081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577,321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907,566</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payment arrangements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measured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8,605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26,220</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Investments measured at fair value using NAV (or its equivalent) as a practical expedient.</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 investments included in Level 1 of the fair value hierarchy include our investment in a mutual fund measured at fair value.</w:t>
      </w:r>
    </w:p>
    <w:p>
      <w:pPr>
        <w:pStyle w:val="TextBody"/>
        <w:bidi w:val="0"/>
        <w:spacing w:lineRule="auto" w:line="288" w:before="0" w:after="0"/>
        <w:jc w:val="both"/>
        <w:rPr/>
      </w:pPr>
      <w:r>
        <w:rPr>
          <w:rFonts w:ascii="Times New Roman;serif" w:hAnsi="Times New Roman;serif"/>
          <w:b w:val="false"/>
          <w:color w:val="000000"/>
          <w:sz w:val="20"/>
        </w:rPr>
        <w:t xml:space="preserve">We </w:t>
      </w:r>
      <w:r>
        <w:rPr>
          <w:rFonts w:ascii="Times New Roman;serif" w:hAnsi="Times New Roman;serif"/>
          <w:b w:val="false"/>
          <w:i/>
          <w:color w:val="000000"/>
          <w:sz w:val="20"/>
        </w:rPr>
        <w:t>provide below</w:t>
      </w:r>
      <w:r>
        <w:rPr>
          <w:color w:val="000000"/>
        </w:rPr>
        <w:t xml:space="preserve"> </w:t>
      </w:r>
      <w:r>
        <w:rPr>
          <w:rFonts w:ascii="Times New Roman;serif" w:hAnsi="Times New Roman;serif"/>
          <w:b w:val="false"/>
          <w:color w:val="000000"/>
          <w:sz w:val="20"/>
        </w:rPr>
        <w:t xml:space="preserve">a description of the fair value methodologies used for instruments measured at fair value, as well as the general classification of such instruments pursuant to the valuation hierarchy: </w:t>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u w:val="single"/>
        </w:rPr>
        <w:t>Money markets</w:t>
      </w:r>
      <w:r>
        <w:rPr>
          <w:rFonts w:ascii="Times New Roman;serif" w:hAnsi="Times New Roman;serif"/>
          <w:b w:val="false"/>
          <w:color w:val="000000"/>
          <w:sz w:val="20"/>
        </w:rPr>
        <w:t xml:space="preserve">: We invest excess cash in various money market funds that are valued based on quoted prices in active markets; these are included in Level 1 of the valuation hierarchy.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u w:val="single"/>
        </w:rPr>
        <w:t>Treasury Bills</w:t>
      </w:r>
      <w:r>
        <w:rPr>
          <w:rFonts w:ascii="Times New Roman;serif" w:hAnsi="Times New Roman;serif"/>
          <w:b w:val="false"/>
          <w:color w:val="000000"/>
          <w:sz w:val="20"/>
        </w:rPr>
        <w:t xml:space="preserve">: We hold U.S. Treasury Bills, which are primarily segregated in a special reserve bank custody account as required by Rule 15c3-3 of the Exchange Act. These securities are valued based on quoted yields in secondary markets and are included in Level 2 of the valuation hierarchy.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u w:val="single"/>
        </w:rPr>
        <w:t>Equity securities</w:t>
      </w:r>
      <w:r>
        <w:rPr>
          <w:rFonts w:ascii="Times New Roman;serif" w:hAnsi="Times New Roman;serif"/>
          <w:b w:val="false"/>
          <w:color w:val="000000"/>
          <w:sz w:val="20"/>
        </w:rPr>
        <w:t xml:space="preserve">: Our equity securities consist principally of company-sponsored mutual funds with NAVs and various separately-managed portfolios consisting primarily of equity and fixed income mutual funds with quoted prices in active markets, which are included in Level 1 of the valuation hierarchy. In addition, some securities are valued based on observable inputs from recognized pricing vendors, which are included in Level 2 of the valuation hierarchy.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u w:val="single"/>
        </w:rPr>
        <w:t>Derivatives</w:t>
      </w:r>
      <w:r>
        <w:rPr>
          <w:rFonts w:ascii="Times New Roman;serif" w:hAnsi="Times New Roman;serif"/>
          <w:b w:val="false"/>
          <w:color w:val="000000"/>
          <w:sz w:val="20"/>
        </w:rPr>
        <w:t xml:space="preserve">: We hold exchange-traded futures with counterparties that are included in Level 1 of the valuation hierarchy. In addition, we also hold currency forward contracts, interest rate swaps, credit default swaps, option swaps and total return swaps with counterparties that are valued based on observable inputs from recognized pricing vendors, which are included in Level 2 of the valuation hierarchy. </w:t>
      </w:r>
    </w:p>
    <w:p>
      <w:pPr>
        <w:pStyle w:val="TextBody"/>
        <w:bidi w:val="0"/>
        <w:spacing w:before="0" w:after="0"/>
        <w:jc w:val="both"/>
        <w:rPr/>
      </w:pPr>
      <w:r>
        <w:rPr/>
      </w:r>
    </w:p>
    <w:p>
      <w:pPr>
        <w:pStyle w:val="TextBody"/>
        <w:bidi w:val="0"/>
        <w:spacing w:lineRule="auto" w:line="288" w:before="0" w:after="180"/>
        <w:ind w:left="0" w:right="0" w:hanging="360"/>
        <w:jc w:val="both"/>
        <w:rPr/>
      </w:pPr>
      <w:r>
        <w:rPr>
          <w:color w:val="000000"/>
        </w:rPr>
        <w:t>•    </w:t>
      </w:r>
      <w:r>
        <w:rPr>
          <w:rFonts w:ascii="Times New Roman;serif" w:hAnsi="Times New Roman;serif"/>
          <w:b w:val="false"/>
          <w:color w:val="000000"/>
          <w:sz w:val="20"/>
          <w:u w:val="single"/>
        </w:rPr>
        <w:t>Contingent payment arrangements</w:t>
      </w:r>
      <w:r>
        <w:rPr>
          <w:rFonts w:ascii="Times New Roman;serif" w:hAnsi="Times New Roman;serif"/>
          <w:b w:val="false"/>
          <w:color w:val="000000"/>
          <w:sz w:val="20"/>
        </w:rPr>
        <w:t xml:space="preserve">: Contingent payment arrangements relate to contingent payment liabilities associated with various acquisitions. At each reporting date, we estimate the fair values of the contingent consideration expected to be paid based upon probability-weighted AUM and revenue projections, using unobservable market data inputs, which are included in Level 3 of the valuation hierarchy.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there were no transfers between Level 2 and Level 3 securities.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carrying value associated with Level 3 financial instruments carried at fair value, classified as equity securities, is as follows: </w:t>
      </w:r>
    </w:p>
    <w:tbl>
      <w:tblPr>
        <w:tblW w:w="7370" w:type="dxa"/>
        <w:jc w:val="left"/>
        <w:tblInd w:w="0" w:type="dxa"/>
        <w:tblLayout w:type="fixed"/>
        <w:tblCellMar>
          <w:top w:w="28" w:type="dxa"/>
          <w:left w:w="28" w:type="dxa"/>
          <w:bottom w:w="28" w:type="dxa"/>
          <w:right w:w="28" w:type="dxa"/>
        </w:tblCellMar>
      </w:tblPr>
      <w:tblGrid>
        <w:gridCol w:w="1037"/>
        <w:gridCol w:w="912"/>
        <w:gridCol w:w="915"/>
        <w:gridCol w:w="109"/>
        <w:gridCol w:w="109"/>
        <w:gridCol w:w="109"/>
        <w:gridCol w:w="109"/>
        <w:gridCol w:w="109"/>
        <w:gridCol w:w="298"/>
        <w:gridCol w:w="298"/>
        <w:gridCol w:w="577"/>
        <w:gridCol w:w="1317"/>
        <w:gridCol w:w="298"/>
        <w:gridCol w:w="109"/>
        <w:gridCol w:w="109"/>
        <w:gridCol w:w="109"/>
        <w:gridCol w:w="211"/>
        <w:gridCol w:w="481"/>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173" w:type="dxa"/>
            <w:gridSpan w:val="6"/>
            <w:tcBorders/>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w:t>
            </w:r>
            <w:r>
              <w:rPr>
                <w:color w:val="000000"/>
              </w:rPr>
              <w:t>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Realized and unrealized gains and losses on Level 3 financial instruments are recorded in investment gains and losses in the condensed consolidated statements of income.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Our acquisitions may include contingent consideration arrangements as part of the purchase price. The change in carrying value associated with Level 3 financial instruments carried at fair value, classified as contingent payment arrangements, is as follows: </w:t>
      </w:r>
    </w:p>
    <w:tbl>
      <w:tblPr>
        <w:tblW w:w="7521" w:type="dxa"/>
        <w:jc w:val="left"/>
        <w:tblInd w:w="0" w:type="dxa"/>
        <w:tblLayout w:type="fixed"/>
        <w:tblCellMar>
          <w:top w:w="28" w:type="dxa"/>
          <w:left w:w="28" w:type="dxa"/>
          <w:bottom w:w="28" w:type="dxa"/>
          <w:right w:w="28" w:type="dxa"/>
        </w:tblCellMar>
      </w:tblPr>
      <w:tblGrid>
        <w:gridCol w:w="1037"/>
        <w:gridCol w:w="912"/>
        <w:gridCol w:w="915"/>
        <w:gridCol w:w="109"/>
        <w:gridCol w:w="109"/>
        <w:gridCol w:w="109"/>
        <w:gridCol w:w="109"/>
        <w:gridCol w:w="109"/>
        <w:gridCol w:w="260"/>
        <w:gridCol w:w="260"/>
        <w:gridCol w:w="503"/>
        <w:gridCol w:w="1506"/>
        <w:gridCol w:w="260"/>
        <w:gridCol w:w="109"/>
        <w:gridCol w:w="109"/>
        <w:gridCol w:w="109"/>
        <w:gridCol w:w="211"/>
        <w:gridCol w:w="631"/>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8,647</w:t>
            </w:r>
            <w:r>
              <w:rPr>
                <w:color w:val="000000"/>
              </w:rPr>
              <w:t>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8,478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the expected revenue growth rates ranged from 2.0% to 8.0%, with a weighted average of 4.9%, calculated using cumulative revenues and range of revenue growth rates and a discount rate of 1.9%. As of March 31, 2025, the expected revenue growth rates ranged from 2.0% to 13.3%, with a weighted average of 6.8%, calculated using cumulative revenues and a range of revenue growth rates and a discount rate of 1.9%.</w:t>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Assets and Liabilities Measured at Fair Value on a Nonrecurring Basis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did not have any material assets or liabilities that were measured at fair value for impairment on a nonrecurring basis during the three months ended March 31, 2026 or during the year ended December 31,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Legal Proceedings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significant litigation matters, we assess the likelihood of a negative outcome. If a negative outcome is probable and the loss can be reasonably estimated, we record an estimated loss. If a negative outcome is reasonably possible and we can estimate the potential loss or range of loss, or if a negative outcome is probable and we can estimate the potential loss or range of loss beyond any amounts already accrued, we disclose this information. However, predicting outcomes or estimating losses is often challenging due to litigation uncertainties, especially in early stages or complex cases. In such instances, we disclose our inability to predict the outcome or estimate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may face regulatory inquiries, administrative proceedings, and litigation, some alleging significant damages. While it is possible we could incur losses from these matters, we cannot currently estimate such losses or their range. Management, after consulting with legal counsel, believes that the outcome of any individual or combined matters will not materially affect our operations, financial condition, or liquidity. However, due to inherent uncertainties, future developments could potentially have a material adverse effect on our results, financial condition, or liquidity in future reporting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Commitments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2024, we entered into a non-exclusive partnership with Reinsurance Group of America, Incorporated (“RGA”) under which we committed to invest $100.0 million in a reinsurance sidecar vehicle sponsored by RGA and focused on the U.S. asset-intensive reinsurance market. AB will manage private alternative assets for RGA’s general account as part of a separate transaction. As of March 31, 2026, we have funded $0.1 million of this commitment.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2025, we entered into a non-exclusive partnership with Carlyle Investment Management L.L.C. (the "Asset Management Sponsor") and Fortitude International Ltd. (the "Insurance Sponsor/and or their respective affiliates"), and together (the "Sponsors") under which we committed to invest $100.0 million in a reinsurance sidecar vehicle Carlyle FCA Re, L.P. (the "FCA Re Sidecar'"). The FCA Re Sidecar is focused on reinsuring life and annuity liabilities in Asia. AB will manage private alternative assets for the Insurance Sponsor as part of a separate transaction. As of March 31, 2026, we have not funded any of this commitment.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13.     Leases </w:t>
      </w:r>
    </w:p>
    <w:p>
      <w:pPr>
        <w:pStyle w:val="TextBody"/>
        <w:bidi w:val="0"/>
        <w:spacing w:before="0" w:after="0"/>
        <w:ind w:left="0" w:right="0" w:hanging="36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lease office space, furniture and office equipment under various operating and financing leases. Our current leases have remaining lease terms of one year to 20 years, some of which include options to extend the leases for up to five years, and some of which include options to terminate the leases within one year.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Leases included in the condensed consolidated statement of financial condition as of March 31, 2026 and December 31, 2025 were as follows: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8406" w:type="dxa"/>
        <w:jc w:val="center"/>
        <w:tblInd w:w="0" w:type="dxa"/>
        <w:tblLayout w:type="fixed"/>
        <w:tblCellMar>
          <w:top w:w="28" w:type="dxa"/>
          <w:left w:w="28" w:type="dxa"/>
          <w:bottom w:w="28" w:type="dxa"/>
          <w:right w:w="28" w:type="dxa"/>
        </w:tblCellMar>
      </w:tblPr>
      <w:tblGrid>
        <w:gridCol w:w="1054"/>
        <w:gridCol w:w="925"/>
        <w:gridCol w:w="930"/>
        <w:gridCol w:w="544"/>
        <w:gridCol w:w="544"/>
        <w:gridCol w:w="546"/>
        <w:gridCol w:w="109"/>
        <w:gridCol w:w="109"/>
        <w:gridCol w:w="109"/>
        <w:gridCol w:w="265"/>
        <w:gridCol w:w="1038"/>
        <w:gridCol w:w="137"/>
        <w:gridCol w:w="109"/>
        <w:gridCol w:w="109"/>
        <w:gridCol w:w="109"/>
        <w:gridCol w:w="313"/>
        <w:gridCol w:w="1228"/>
        <w:gridCol w:w="228"/>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458,452 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448,177 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521,373 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511,308 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(14,259)</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Finance lease liabilities </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included in the condensed consolidated statement of income as of March 31, 2026 and March 31, 2025 were as follows:</w:t>
      </w:r>
    </w:p>
    <w:tbl>
      <w:tblPr>
        <w:tblW w:w="9950" w:type="dxa"/>
        <w:jc w:val="center"/>
        <w:tblInd w:w="0" w:type="dxa"/>
        <w:tblLayout w:type="fixed"/>
        <w:tblCellMar>
          <w:top w:w="28" w:type="dxa"/>
          <w:left w:w="28" w:type="dxa"/>
          <w:bottom w:w="28" w:type="dxa"/>
          <w:right w:w="28" w:type="dxa"/>
        </w:tblCellMar>
      </w:tblPr>
      <w:tblGrid>
        <w:gridCol w:w="1053"/>
        <w:gridCol w:w="925"/>
        <w:gridCol w:w="932"/>
        <w:gridCol w:w="762"/>
        <w:gridCol w:w="762"/>
        <w:gridCol w:w="770"/>
        <w:gridCol w:w="109"/>
        <w:gridCol w:w="109"/>
        <w:gridCol w:w="109"/>
        <w:gridCol w:w="109"/>
        <w:gridCol w:w="109"/>
        <w:gridCol w:w="241"/>
        <w:gridCol w:w="241"/>
        <w:gridCol w:w="467"/>
        <w:gridCol w:w="1598"/>
        <w:gridCol w:w="241"/>
        <w:gridCol w:w="109"/>
        <w:gridCol w:w="109"/>
        <w:gridCol w:w="109"/>
        <w:gridCol w:w="211"/>
        <w:gridCol w:w="721"/>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cost:</w:t>
            </w:r>
          </w:p>
        </w:tc>
        <w:tc>
          <w:tcPr>
            <w:tcW w:w="2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cost</w:t>
            </w:r>
          </w:p>
        </w:tc>
        <w:tc>
          <w:tcPr>
            <w:tcW w:w="2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Variable lease cost </w:t>
            </w:r>
            <w:r>
              <w:rPr>
                <w:rFonts w:ascii="Times New Roman;serif" w:hAnsi="Times New Roman;serif"/>
                <w:b w:val="false"/>
                <w:color w:val="000000"/>
                <w:sz w:val="13"/>
              </w:rPr>
              <w:t>(1)</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lease cost</w:t>
            </w:r>
          </w:p>
        </w:tc>
        <w:tc>
          <w:tcPr>
            <w:tcW w:w="2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21,068 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Variable lease expense includes operating expenses, real estate taxes and employee parking.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sub-lease income represents all revenues received from sub-tenants. It is primarily fixed base rental payments combined with variable reimbursements such as operating expenses, real estate taxes and employee parking. The vast majority of sub-tenant income is derived from our New York metro sub-tenant agreements. Sub-tenant income related to base rent is recorded on a straight-line basis.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Maturities of lease liabilities were as follows:</w:t>
      </w:r>
    </w:p>
    <w:tbl>
      <w:tblPr>
        <w:tblW w:w="9704" w:type="dxa"/>
        <w:jc w:val="center"/>
        <w:tblInd w:w="0" w:type="dxa"/>
        <w:tblLayout w:type="fixed"/>
        <w:tblCellMar>
          <w:top w:w="28" w:type="dxa"/>
          <w:left w:w="28" w:type="dxa"/>
          <w:bottom w:w="28" w:type="dxa"/>
          <w:right w:w="28" w:type="dxa"/>
        </w:tblCellMar>
      </w:tblPr>
      <w:tblGrid>
        <w:gridCol w:w="1738"/>
        <w:gridCol w:w="1526"/>
        <w:gridCol w:w="1536"/>
        <w:gridCol w:w="292"/>
        <w:gridCol w:w="1146"/>
        <w:gridCol w:w="151"/>
        <w:gridCol w:w="109"/>
        <w:gridCol w:w="109"/>
        <w:gridCol w:w="109"/>
        <w:gridCol w:w="354"/>
        <w:gridCol w:w="1036"/>
        <w:gridCol w:w="185"/>
        <w:gridCol w:w="109"/>
        <w:gridCol w:w="109"/>
        <w:gridCol w:w="109"/>
        <w:gridCol w:w="211"/>
        <w:gridCol w:w="721"/>
        <w:gridCol w:w="154"/>
      </w:tblGrid>
      <w:tr>
        <w:trPr/>
        <w:tc>
          <w:tcPr>
            <w:tcW w:w="1738"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49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(excluding the three months ended March 31, 2026)</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65,543 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440,663 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723,549 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521,373 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4837" w:type="dxa"/>
        <w:jc w:val="left"/>
        <w:tblInd w:w="0" w:type="dxa"/>
        <w:tblLayout w:type="fixed"/>
        <w:tblCellMar>
          <w:top w:w="28" w:type="dxa"/>
          <w:left w:w="28" w:type="dxa"/>
          <w:bottom w:w="28" w:type="dxa"/>
          <w:right w:w="28" w:type="dxa"/>
        </w:tblCellMar>
      </w:tblPr>
      <w:tblGrid>
        <w:gridCol w:w="1433"/>
        <w:gridCol w:w="1261"/>
        <w:gridCol w:w="1266"/>
        <w:gridCol w:w="255"/>
        <w:gridCol w:w="256"/>
        <w:gridCol w:w="366"/>
      </w:tblGrid>
      <w:tr>
        <w:trPr/>
        <w:tc>
          <w:tcPr>
            <w:tcW w:w="143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term and discount rate:</w:t>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Supplemental non-cash activity related to leases was as follows:</w:t>
      </w:r>
    </w:p>
    <w:tbl>
      <w:tblPr>
        <w:tblW w:w="8203" w:type="dxa"/>
        <w:jc w:val="center"/>
        <w:tblInd w:w="0" w:type="dxa"/>
        <w:tblLayout w:type="fixed"/>
        <w:tblCellMar>
          <w:top w:w="28" w:type="dxa"/>
          <w:left w:w="28" w:type="dxa"/>
          <w:bottom w:w="28" w:type="dxa"/>
          <w:right w:w="28" w:type="dxa"/>
        </w:tblCellMar>
      </w:tblPr>
      <w:tblGrid>
        <w:gridCol w:w="1944"/>
        <w:gridCol w:w="1708"/>
        <w:gridCol w:w="1718"/>
        <w:gridCol w:w="301"/>
        <w:gridCol w:w="301"/>
        <w:gridCol w:w="301"/>
        <w:gridCol w:w="301"/>
        <w:gridCol w:w="301"/>
        <w:gridCol w:w="301"/>
        <w:gridCol w:w="301"/>
        <w:gridCol w:w="301"/>
        <w:gridCol w:w="425"/>
      </w:tblGrid>
      <w:tr>
        <w:trPr/>
        <w:tc>
          <w:tcPr>
            <w:tcW w:w="1944"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Right-of-use assets obtained in exchange for lease obligations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Represents non-cash activity and, accordingly, is not reflected in the condensed consolidated statement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14. Consolidated Company-Sponsored Investment Funds </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regularly provide seed capital to new company-sponsored investment funds. As such, we may consolidate or de-consolidate a variety of company-sponsored investment funds each quarter. Due to the similarity of risks related to our involvement with each company-sponsored investment fund, disclosures required under the VIE model are aggregated, such as disclosures regarding the carrying amount and classification of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not required to provide financial support to company-sponsored investment funds, and only the assets of such funds are available to settle each fund's own liabilities. Our exposure to loss regarding consolidated company-sponsored investment funds is limited to our investment in, and our management fee earned from, such funds. Equity and debt holders of such funds have no recourse to AB’s assets or to the general credit of AB.</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balances of consolidated VIEs and VOEs included in our condensed consolidated statements of financial condition were as follows:</w:t>
      </w:r>
    </w:p>
    <w:tbl>
      <w:tblPr>
        <w:tblW w:w="10205" w:type="dxa"/>
        <w:jc w:val="center"/>
        <w:tblInd w:w="0" w:type="dxa"/>
        <w:tblLayout w:type="fixed"/>
        <w:tblCellMar>
          <w:top w:w="28" w:type="dxa"/>
          <w:left w:w="28" w:type="dxa"/>
          <w:bottom w:w="28" w:type="dxa"/>
          <w:right w:w="28" w:type="dxa"/>
        </w:tblCellMar>
      </w:tblPr>
      <w:tblGrid>
        <w:gridCol w:w="761"/>
        <w:gridCol w:w="339"/>
        <w:gridCol w:w="341"/>
        <w:gridCol w:w="109"/>
        <w:gridCol w:w="109"/>
        <w:gridCol w:w="109"/>
        <w:gridCol w:w="211"/>
        <w:gridCol w:w="841"/>
        <w:gridCol w:w="109"/>
        <w:gridCol w:w="109"/>
        <w:gridCol w:w="109"/>
        <w:gridCol w:w="109"/>
        <w:gridCol w:w="211"/>
        <w:gridCol w:w="736"/>
        <w:gridCol w:w="109"/>
        <w:gridCol w:w="109"/>
        <w:gridCol w:w="109"/>
        <w:gridCol w:w="109"/>
        <w:gridCol w:w="211"/>
        <w:gridCol w:w="841"/>
        <w:gridCol w:w="109"/>
        <w:gridCol w:w="109"/>
        <w:gridCol w:w="109"/>
        <w:gridCol w:w="109"/>
        <w:gridCol w:w="211"/>
        <w:gridCol w:w="841"/>
        <w:gridCol w:w="109"/>
        <w:gridCol w:w="109"/>
        <w:gridCol w:w="109"/>
        <w:gridCol w:w="109"/>
        <w:gridCol w:w="211"/>
        <w:gridCol w:w="736"/>
        <w:gridCol w:w="109"/>
        <w:gridCol w:w="109"/>
        <w:gridCol w:w="109"/>
        <w:gridCol w:w="109"/>
        <w:gridCol w:w="211"/>
        <w:gridCol w:w="841"/>
        <w:gridCol w:w="155"/>
      </w:tblGrid>
      <w:tr>
        <w:trPr/>
        <w:tc>
          <w:tcPr>
            <w:tcW w:w="76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421,957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448,468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346,430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373,380</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Partners' capital attributable to AB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redeemable non-controlling interest and partners'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421,957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448,468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346,430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373,380</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three-month period ended March 31, 2026, we deconsolidated one fund in which we had a seed investment of approximately $4.5 million as of December 31, 2025, due to no longer having a controlling financial interest.</w:t>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redeemable non-controlling interest balance during the three-month period ended March 31, 2026 are as follows (in thousands): </w:t>
      </w:r>
    </w:p>
    <w:tbl>
      <w:tblPr>
        <w:tblW w:w="6381" w:type="dxa"/>
        <w:jc w:val="left"/>
        <w:tblInd w:w="0" w:type="dxa"/>
        <w:tblLayout w:type="fixed"/>
        <w:tblCellMar>
          <w:top w:w="28" w:type="dxa"/>
          <w:left w:w="28" w:type="dxa"/>
          <w:bottom w:w="28" w:type="dxa"/>
          <w:right w:w="28" w:type="dxa"/>
        </w:tblCellMar>
      </w:tblPr>
      <w:tblGrid>
        <w:gridCol w:w="1874"/>
        <w:gridCol w:w="1647"/>
        <w:gridCol w:w="1654"/>
        <w:gridCol w:w="211"/>
        <w:gridCol w:w="841"/>
        <w:gridCol w:w="154"/>
      </w:tblGrid>
      <w:tr>
        <w:trPr/>
        <w:tc>
          <w:tcPr>
            <w:tcW w:w="187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Deconsolidated funds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third-party seed investments in consolidated funds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Redeemable non-controlling interest as of March 31,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255,651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Fair Value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cash on hand, demand deposits, overnight commercial paper and highly liquid investments with original maturities of three months or less. Due to the short-term nature of these instruments, the recorded value has been determined to approximate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Valuation of consolidated company-sponsored investment funds' financial instruments by pricing observability levels as of March 31, 2026 and December 31, 2025 was as follows (in thousands): </w:t>
      </w:r>
    </w:p>
    <w:tbl>
      <w:tblPr>
        <w:tblW w:w="7887" w:type="dxa"/>
        <w:jc w:val="left"/>
        <w:tblInd w:w="0" w:type="dxa"/>
        <w:tblLayout w:type="fixed"/>
        <w:tblCellMar>
          <w:top w:w="28" w:type="dxa"/>
          <w:left w:w="28" w:type="dxa"/>
          <w:bottom w:w="28" w:type="dxa"/>
          <w:right w:w="28" w:type="dxa"/>
        </w:tblCellMar>
      </w:tblPr>
      <w:tblGrid>
        <w:gridCol w:w="1221"/>
        <w:gridCol w:w="1075"/>
        <w:gridCol w:w="1078"/>
        <w:gridCol w:w="211"/>
        <w:gridCol w:w="736"/>
        <w:gridCol w:w="109"/>
        <w:gridCol w:w="109"/>
        <w:gridCol w:w="109"/>
        <w:gridCol w:w="109"/>
        <w:gridCol w:w="211"/>
        <w:gridCol w:w="841"/>
        <w:gridCol w:w="109"/>
        <w:gridCol w:w="109"/>
        <w:gridCol w:w="109"/>
        <w:gridCol w:w="109"/>
        <w:gridCol w:w="109"/>
        <w:gridCol w:w="109"/>
        <w:gridCol w:w="109"/>
        <w:gridCol w:w="109"/>
        <w:gridCol w:w="211"/>
        <w:gridCol w:w="841"/>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March 31, 2026:</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Investments - VIEs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Investments - VOEs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Derivatives - VIEs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measured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391,261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421,136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 VIEs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25,059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Investments - VIEs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Investments - VOEs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Derivatives - VIEs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317,839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340,611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 VIEs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measured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20,084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See Note 11</w:t>
      </w:r>
      <w:r>
        <w:rPr>
          <w:color w:val="000000"/>
        </w:rPr>
        <w:t xml:space="preserve"> </w:t>
      </w:r>
      <w:r>
        <w:rPr>
          <w:rFonts w:ascii="Times New Roman;serif" w:hAnsi="Times New Roman;serif"/>
          <w:b w:val="false"/>
          <w:color w:val="000000"/>
          <w:sz w:val="20"/>
        </w:rPr>
        <w:t>for a description of the fair value methodologies used for instruments measured at fair value, as well as the general classification of such instruments pursuant to the valuation hierarchy.</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Level 3 financial instruments carried at fair value within the consolidated company-sponsored investment funds during the three months ended March 31, 2026 and 2025,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VIEs held $3.4 million and zero net liabilities, respectively, of futures, forwards and swaps within their portfolios. For the three months ended March 31, 2026 and March 31, 2025, we recognized $4.6 million and $0.1 million of losses, respectively, on these derivatives. These gains and losses are recognized in investment gains (losses) in the condensed consolidated statements of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VIEs held $0.1 million and zero, respectively, of cash collateral payable to trade counterparties. This obligation to return cash is reported in the liabilities of consolidated company-sponsored investment funds in our condensed consolidated statements of financial condition.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VIEs delivered $3.6 million and $0.5 million, respectively, of cash collateral into brokerage accounts. The VIEs report this cash collateral in the consolidated company-sponsored investment funds cash and cash equivalents in our condensed consolidated statements of financial condition.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VOEs held zero futures, forwards, options or swaps within their portfolios. For the three months ended March 31, 2026 and March 31, 2025, we recognized no gains or losses on these derivatives. These gains and losses are recognized in investment gains (losses) in the condensed statements of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VOEs held no cash collateral payable to trade counterparties.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VOEs delivered no cash collateral in brokerage accounts.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Offsetting Assets and Liabilities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Offsetting of derivative assets of consolidated company-sponsored investment funds as of March 31, 2026 and December 31, 2025 was as follows: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57"/>
        <w:gridCol w:w="309"/>
        <w:gridCol w:w="254"/>
        <w:gridCol w:w="258"/>
        <w:gridCol w:w="883"/>
        <w:gridCol w:w="134"/>
        <w:gridCol w:w="109"/>
        <w:gridCol w:w="109"/>
        <w:gridCol w:w="109"/>
        <w:gridCol w:w="391"/>
        <w:gridCol w:w="755"/>
        <w:gridCol w:w="204"/>
        <w:gridCol w:w="109"/>
        <w:gridCol w:w="109"/>
        <w:gridCol w:w="109"/>
        <w:gridCol w:w="307"/>
        <w:gridCol w:w="1052"/>
        <w:gridCol w:w="159"/>
        <w:gridCol w:w="109"/>
        <w:gridCol w:w="109"/>
        <w:gridCol w:w="109"/>
        <w:gridCol w:w="346"/>
        <w:gridCol w:w="668"/>
        <w:gridCol w:w="180"/>
        <w:gridCol w:w="109"/>
        <w:gridCol w:w="109"/>
        <w:gridCol w:w="109"/>
        <w:gridCol w:w="268"/>
        <w:gridCol w:w="612"/>
        <w:gridCol w:w="138"/>
        <w:gridCol w:w="109"/>
        <w:gridCol w:w="109"/>
        <w:gridCol w:w="109"/>
        <w:gridCol w:w="211"/>
        <w:gridCol w:w="721"/>
        <w:gridCol w:w="163"/>
      </w:tblGrid>
      <w:tr>
        <w:trPr/>
        <w:tc>
          <w:tcPr>
            <w:tcW w:w="5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 Recognized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Offset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Amounts of Assets Presented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br/>
              <w:t>Instruments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Cash Collateral</w:t>
              <w:br/>
              <w:t>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br/>
              <w:t>Amount</w:t>
            </w:r>
          </w:p>
        </w:tc>
      </w:tr>
      <w:tr>
        <w:trPr/>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8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March 31, 2026:</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 VIEs</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 VIEs</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Offsetting of derivative liabilities of consolidated company-sponsored investment funds as of March 31, 2026 and December 31, 2025 was as follows: </w:t>
      </w:r>
    </w:p>
    <w:tbl>
      <w:tblPr>
        <w:tblW w:w="10205" w:type="dxa"/>
        <w:jc w:val="left"/>
        <w:tblInd w:w="0" w:type="dxa"/>
        <w:tblLayout w:type="fixed"/>
        <w:tblCellMar>
          <w:top w:w="28" w:type="dxa"/>
          <w:left w:w="28" w:type="dxa"/>
          <w:bottom w:w="28" w:type="dxa"/>
          <w:right w:w="28" w:type="dxa"/>
        </w:tblCellMar>
      </w:tblPr>
      <w:tblGrid>
        <w:gridCol w:w="557"/>
        <w:gridCol w:w="307"/>
        <w:gridCol w:w="252"/>
        <w:gridCol w:w="262"/>
        <w:gridCol w:w="898"/>
        <w:gridCol w:w="136"/>
        <w:gridCol w:w="109"/>
        <w:gridCol w:w="109"/>
        <w:gridCol w:w="109"/>
        <w:gridCol w:w="384"/>
        <w:gridCol w:w="743"/>
        <w:gridCol w:w="200"/>
        <w:gridCol w:w="109"/>
        <w:gridCol w:w="109"/>
        <w:gridCol w:w="109"/>
        <w:gridCol w:w="309"/>
        <w:gridCol w:w="1056"/>
        <w:gridCol w:w="159"/>
        <w:gridCol w:w="109"/>
        <w:gridCol w:w="109"/>
        <w:gridCol w:w="109"/>
        <w:gridCol w:w="345"/>
        <w:gridCol w:w="666"/>
        <w:gridCol w:w="180"/>
        <w:gridCol w:w="109"/>
        <w:gridCol w:w="109"/>
        <w:gridCol w:w="109"/>
        <w:gridCol w:w="218"/>
        <w:gridCol w:w="684"/>
        <w:gridCol w:w="113"/>
        <w:gridCol w:w="109"/>
        <w:gridCol w:w="109"/>
        <w:gridCol w:w="109"/>
        <w:gridCol w:w="212"/>
        <w:gridCol w:w="725"/>
        <w:gridCol w:w="164"/>
      </w:tblGrid>
      <w:tr>
        <w:trPr/>
        <w:tc>
          <w:tcPr>
            <w:tcW w:w="55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 Recognized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Offset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Amounts of Liabilities Presented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br/>
              <w:t>Instruments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Cash Collateral</w:t>
              <w:br/>
              <w:t>Pledged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w:t>
            </w:r>
          </w:p>
        </w:tc>
      </w:tr>
      <w:tr>
        <w:trPr/>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8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March 31, 2026:</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 VIEs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 VIEs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Cash collateral, whether pledged or received on derivative instruments, is not considered material and, accordingly, is not disclosed by counterparty.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Non-Consolidated VIEs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net assets of company-sponsored investment products that are non-consolidated VIEs are approximately $50.8 billion; our maximum risk of loss is our investment of $46.1 million and our advisory fee receivables from these VIEs is $86.4 million. As of December 31, 2025, the net assets of company-sponsored investment products that are non-consolidated VIEs are approximately $51.3 billion; our maximum risk of loss is our investment of $40.4 million and our advisory fees receivable from these VIEs are $105.1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15.     Units Outstanding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AB Units outstanding during the three-month period ended March 31, 2026 were as follows: </w:t>
      </w:r>
    </w:p>
    <w:p>
      <w:pPr>
        <w:pStyle w:val="TextBody"/>
        <w:bidi w:val="0"/>
        <w:spacing w:lineRule="auto" w:line="288" w:before="0" w:after="0"/>
        <w:jc w:val="both"/>
        <w:rPr>
          <w:color w:val="000000"/>
        </w:rPr>
      </w:pPr>
      <w:r>
        <w:rPr>
          <w:color w:val="000000"/>
        </w:rPr>
        <w:t> </w:t>
      </w:r>
    </w:p>
    <w:tbl>
      <w:tblPr>
        <w:tblW w:w="4520" w:type="dxa"/>
        <w:jc w:val="left"/>
        <w:tblInd w:w="0" w:type="dxa"/>
        <w:tblLayout w:type="fixed"/>
        <w:tblCellMar>
          <w:top w:w="28" w:type="dxa"/>
          <w:left w:w="28" w:type="dxa"/>
          <w:bottom w:w="28" w:type="dxa"/>
          <w:right w:w="28" w:type="dxa"/>
        </w:tblCellMar>
      </w:tblPr>
      <w:tblGrid>
        <w:gridCol w:w="1147"/>
        <w:gridCol w:w="1006"/>
        <w:gridCol w:w="1012"/>
        <w:gridCol w:w="600"/>
        <w:gridCol w:w="601"/>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293,508,421 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issued</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Units retired </w:t>
            </w:r>
            <w:r>
              <w:rPr>
                <w:rFonts w:ascii="Times New Roman;serif" w:hAnsi="Times New Roman;serif"/>
                <w:b w:val="false"/>
                <w:color w:val="000000"/>
                <w:sz w:val="13"/>
              </w:rPr>
              <w:t>(1)</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as of March 31, 2026</w:t>
            </w:r>
          </w:p>
        </w:tc>
        <w:tc>
          <w:tcPr>
            <w:tcW w:w="12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294,626,407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During the three months ended March 31, 2026, we purchased 1,500 AB Units in private transactions and retired them.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16.     Debt </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Credit Facility</w:t>
      </w:r>
    </w:p>
    <w:p>
      <w:pPr>
        <w:pStyle w:val="TextBody"/>
        <w:bidi w:val="0"/>
        <w:spacing w:lineRule="auto" w:line="288" w:before="120" w:after="283"/>
        <w:jc w:val="both"/>
        <w:rPr/>
      </w:pPr>
      <w:r>
        <w:rPr>
          <w:rFonts w:ascii="Times New Roman;serif" w:hAnsi="Times New Roman;serif"/>
          <w:b w:val="false"/>
          <w:color w:val="000000"/>
          <w:sz w:val="20"/>
        </w:rPr>
        <w:t>AB has an $800.0 million committed, unsecured senior revolving credit facility (the "</w:t>
      </w:r>
      <w:r>
        <w:rPr>
          <w:rFonts w:ascii="Times New Roman;serif" w:hAnsi="Times New Roman;serif"/>
          <w:b/>
          <w:color w:val="000000"/>
          <w:sz w:val="20"/>
        </w:rPr>
        <w:t>Credit Facility</w:t>
      </w:r>
      <w:r>
        <w:rPr>
          <w:rFonts w:ascii="Times New Roman;serif" w:hAnsi="Times New Roman;serif"/>
          <w:b w:val="false"/>
          <w:color w:val="000000"/>
          <w:sz w:val="20"/>
        </w:rPr>
        <w:t xml:space="preserve">") with a group of commercial banks and other lenders. The Credit Facility has a maturity date to August 5, 2030. The Credit Facility provides for possible increases in the principal amount by up to an aggregate incremental amount of $200.0 million; any such increase is subject to the consent of the affected lenders. The Credit Facility is available for AB business purposes, including the support of AB’s commercial paper program. Management may draw on the Credit Facility from time to time.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Facility contains affirmative, negative and financial covenants, which are customary for facilities of this type, including restrictions on dispositions of assets, restrictions on liens, a minimum interest coverage ratio and a maximum leverage ratio. As of March 31, 2026, we were in compliance with these covenants. The Credit Facility also includes customary events of default (with customary grace periods, as applicable), including provisions under which, upon the occurrence of an event of default, all outstanding loans may be accelerated and/or lender’s commitments may be terminated. Also, under such provisions, upon the occurrence of certain insolvency-related or bankruptcy-related events of default, all amounts payable under the Credit Facility would automatically become immediately due and payable, and the lender’s commitments automatically would terminate.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under the Credit Facility may be borrowed, repaid and re-borrowed by us from time to time until the maturity of the facility. Voluntary prepayments and commitment reductions requested by us are permitted at any time without a fee (other than customary breakage costs relating to the prepayment of any drawn loans) upon proper notice and subject to a minimum dollar requirement. Borrowings under the Credit Facility bear interest at a rate per annum, which will be, at our option, a rate equal to an applicable margin, which is subject to adjustment based on the credit ratings of AB, plus one of the following indices: a term Secured Overnight Financial Rate; a Prime rate; or the Federal Funds rate.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we had no amounts outstanding under the Credit Facility. Furthermore, during the first three months of 2026 and the full year 2025, we did not draw upon the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EQH Facility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also has a $900.0 million committed, unsecured senior credit facility (“EQH Facility”) with EQH. The EQH Facility matures on August 31, 2029 and is available for AB's general business purposes. Borrowings under the EQH Facility generally bear interest at a rate per annum based on prevailing overnight commercial paper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EQH Facility contains affirmative, negative and financial covenants which are substantially similar to those in AB’s committed bank facilities. As of March 31, 2026, we were in compliance with these covenants. The EQH Facility also includes customary events of default substantially similar to those in AB’s committed bank facilities, including provisions under which, upon the occurrence of an event of default, all outstanding loans may be accelerated and/or the lender’s commitment may be terminated.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under the EQH Facility may be borrowed, repaid and re-borrowed by us from time to time until the maturity of the facility. AB or EQH may reduce or terminate the commitment at any time without penalty upon proper notice. EQH also may terminate the facility immediately upon a change of control of our general partner.</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AB had $705.0 million and $810.0 million outstanding under the EQH Facility, with interest rates of approximately 3.6% and 3.7%, respectively. Average daily borrowings on the EQH Facility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first three months of 2026 and the full year 2025 were $521.1 million and $392.2 million, respectively, with weighted average interest rates of approximately 3.6% and 4.2%,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EQH Uncommitted Facility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EQH Facility, AB has a $300.0 million uncommitted, unsecured senior credit facility (“EQH Uncommitted Facility”) with EQH. The EQH Uncommitted Facility matures on August 31, 2029 and is available for AB's general business purposes. Borrowings under the EQH Uncommitted Facility generally bear interest at a rate per annum based on prevailing overnight commercial paper rates. The EQH Uncommitted Facility contains affirmative, negative and financial covenants which are substantially similar to those in the EQH Facility. As of March 31, 2026, we were in compliance with these covenants. As of March 31, 2026 and December 31, 2025 we had no amounts outstanding on the EQH Uncommitted Facility. During the first three months of 2026 and full year 2025, we did not draw upon the EQH Uncommitted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Commercial Paper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both March 31, 2026 and December 31, 2025 we had no commercial paper outstanding. The commercial paper is short term in nature, and as such, recorded value is estimated to approximate fair value (and considered a Level 2 security in the fair value hierarchy). Average daily borrowings of commercial paper during the first three months of 2026 and full year 2025 were $187.0 million and $199.5 million, respectively, with weighted average interest rates of approximately 3.8% and 4.4%,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SCB Lines of Credit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SCB LLC had three uncommitted lines of credit with with three financial institutions, two of these lines of credit allowed SCB LLC to borrow up to an aggregate of $150 milion. One of these lines of credit was terminated March 20, 2026. As of March 31, 2026 SCB LLC has two uncommitted lines of credit with two financial institutions. One of these lines of credit permits SCB LLC to borrow up to an aggregate of approximately $100.0 million, with AB named as an additional borrower, while the other line has no stated limit. AB has agreed to guarantee the obligations of SCB LLC under these lines of credit. As of March 31, 2026 and December 31, 2025, SCB LLC had no outstanding balance on these lines of credit. Furthermore, during the first three months of 2026 SCB LLC did not draw upon these lines of credit. Average daily borrowings on these lines of credit during the full year 2025 were $0.5 million with a weighted average interest rate of approximately 7.3%.</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17. Business Segment Information </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has assessed the requirements of ASC 280, Segment Reporting, and determined that, because we utilize a consolidated approach to assess performance and allocate resources, we have only one operating segment. We provide diversified investment management, research and related services globally to a broad range of clients through our three distribution channels: Institutions, Retail and Private Wealth Management.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Chief Operating Decision Maker (</w:t>
      </w:r>
      <w:r>
        <w:rPr>
          <w:rFonts w:ascii="Times New Roman;serif" w:hAnsi="Times New Roman;serif"/>
          <w:b/>
          <w:color w:val="000000"/>
          <w:sz w:val="20"/>
        </w:rPr>
        <w:t>"</w:t>
      </w:r>
      <w:r>
        <w:rPr>
          <w:rFonts w:ascii="Times New Roman;serif" w:hAnsi="Times New Roman;serif"/>
          <w:b w:val="false"/>
          <w:color w:val="000000"/>
          <w:sz w:val="20"/>
        </w:rPr>
        <w:t>CODM</w:t>
      </w:r>
      <w:r>
        <w:rPr>
          <w:rFonts w:ascii="Times New Roman;serif" w:hAnsi="Times New Roman;serif"/>
          <w:b/>
          <w:color w:val="000000"/>
          <w:sz w:val="20"/>
        </w:rPr>
        <w:t>"</w:t>
      </w:r>
      <w:r>
        <w:rPr>
          <w:rFonts w:ascii="Times New Roman;serif" w:hAnsi="Times New Roman;serif"/>
          <w:b w:val="false"/>
          <w:color w:val="000000"/>
          <w:sz w:val="20"/>
        </w:rPr>
        <w:t>) is the Chief Executive Officer of AB. The CODM evaluates the reported measure of segment profit or loss in assessing segment performance and deciding how to allocate resources. Significant segment expenses are part of the CODM review and are critically important to understand the level of profitability and overall performance of the company. This assessment will determine the way in which the CODM allocates resources to our respective business operations.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Measurement of Segment Profit or Loss and How the CODM Uses the Reported Measure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CODM regularly receives financial information and management reports that are prepared on a consolidated basis. When assessing profitability, allocating resources and evaluating the underlying performance of our business, the CODM uses condensed consolidated net income as reported on the condensed consolidated statements of income. In applying the requirements under ASC 280, the company has identified significant segment expenses and other segment items related to our one operating segment. The significant expenses considered by the CODM in evaluating the performance of our business are consistent with the financial information included on the company's condensed consolidated statements of income. The measurement of assets as evaluated by the CODM is reported as </w:t>
      </w:r>
      <w:r>
        <w:rPr>
          <w:rFonts w:ascii="Times New Roman;serif" w:hAnsi="Times New Roman;serif"/>
          <w:b w:val="false"/>
          <w:i/>
          <w:color w:val="000000"/>
          <w:sz w:val="20"/>
        </w:rPr>
        <w:t>"Total assets"</w:t>
      </w:r>
      <w:r>
        <w:rPr>
          <w:color w:val="000000"/>
        </w:rPr>
        <w:t xml:space="preserve"> </w:t>
      </w:r>
      <w:r>
        <w:rPr>
          <w:rFonts w:ascii="Times New Roman;serif" w:hAnsi="Times New Roman;serif"/>
          <w:b w:val="false"/>
          <w:color w:val="000000"/>
          <w:sz w:val="20"/>
        </w:rPr>
        <w:t xml:space="preserve">on the condensed consolidated statements of financial condition. As an additional measure of segment profit or loss, the CODM considers certain adjustments to condensed consolidated net income. While management uses these additional adjusted metrics in assessing and allocating resources to the business, management recognizes that US GAAP principles are the basis of our performance.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Enterprise-wide disclosures as of and for the three months ended March 31, 2026 and 2025 were as follows: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revenues derived from our investment management, research and related services for the three months ended March 31, 2026 and 2025 were as follows:</w:t>
      </w:r>
    </w:p>
    <w:tbl>
      <w:tblPr>
        <w:tblW w:w="7184" w:type="dxa"/>
        <w:jc w:val="left"/>
        <w:tblInd w:w="0" w:type="dxa"/>
        <w:tblLayout w:type="fixed"/>
        <w:tblCellMar>
          <w:top w:w="28" w:type="dxa"/>
          <w:left w:w="28" w:type="dxa"/>
          <w:bottom w:w="28" w:type="dxa"/>
          <w:right w:w="28" w:type="dxa"/>
        </w:tblCellMar>
      </w:tblPr>
      <w:tblGrid>
        <w:gridCol w:w="1318"/>
        <w:gridCol w:w="1158"/>
        <w:gridCol w:w="1169"/>
        <w:gridCol w:w="109"/>
        <w:gridCol w:w="109"/>
        <w:gridCol w:w="109"/>
        <w:gridCol w:w="211"/>
        <w:gridCol w:w="991"/>
        <w:gridCol w:w="109"/>
        <w:gridCol w:w="109"/>
        <w:gridCol w:w="109"/>
        <w:gridCol w:w="109"/>
        <w:gridCol w:w="211"/>
        <w:gridCol w:w="991"/>
        <w:gridCol w:w="109"/>
        <w:gridCol w:w="109"/>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Institutions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Retail</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Wealth Management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Broker-dealer related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1,201,726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1,080,607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Institutions, Retail and Private Wealth management revenues by channel include investment advisory base fees, performance-based fees, distribution revenues and shareholder servicing fees by channel.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AllianceBernstein U.S. Growth Stock, an open-end fund incorporated in Japan, generated approximately 11% and 12% of our net revenues for the three months ended March 31, 2026 and 2025, respectively.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Geographic Information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revenues related to our U.S. and international operations, for the three months ended March 31, 2026 and 2025, were as follows:</w:t>
      </w:r>
    </w:p>
    <w:tbl>
      <w:tblPr>
        <w:tblW w:w="5597" w:type="dxa"/>
        <w:jc w:val="left"/>
        <w:tblInd w:w="0" w:type="dxa"/>
        <w:tblLayout w:type="fixed"/>
        <w:tblCellMar>
          <w:top w:w="28" w:type="dxa"/>
          <w:left w:w="28" w:type="dxa"/>
          <w:bottom w:w="28" w:type="dxa"/>
          <w:right w:w="28" w:type="dxa"/>
        </w:tblCellMar>
      </w:tblPr>
      <w:tblGrid>
        <w:gridCol w:w="738"/>
        <w:gridCol w:w="652"/>
        <w:gridCol w:w="559"/>
        <w:gridCol w:w="109"/>
        <w:gridCol w:w="109"/>
        <w:gridCol w:w="109"/>
        <w:gridCol w:w="211"/>
        <w:gridCol w:w="991"/>
        <w:gridCol w:w="109"/>
        <w:gridCol w:w="109"/>
        <w:gridCol w:w="109"/>
        <w:gridCol w:w="109"/>
        <w:gridCol w:w="211"/>
        <w:gridCol w:w="991"/>
        <w:gridCol w:w="109"/>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Luxembourg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Japan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1,201,726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1,080,607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Long-lived assets related to our U.S. and international operations, as of March 31, 2026 and December 31, 2025, were as follows:</w:t>
      </w:r>
    </w:p>
    <w:tbl>
      <w:tblPr>
        <w:tblW w:w="5685" w:type="dxa"/>
        <w:jc w:val="left"/>
        <w:tblInd w:w="0" w:type="dxa"/>
        <w:tblLayout w:type="fixed"/>
        <w:tblCellMar>
          <w:top w:w="28" w:type="dxa"/>
          <w:left w:w="28" w:type="dxa"/>
          <w:bottom w:w="28" w:type="dxa"/>
          <w:right w:w="28" w:type="dxa"/>
        </w:tblCellMar>
      </w:tblPr>
      <w:tblGrid>
        <w:gridCol w:w="581"/>
        <w:gridCol w:w="511"/>
        <w:gridCol w:w="513"/>
        <w:gridCol w:w="109"/>
        <w:gridCol w:w="109"/>
        <w:gridCol w:w="109"/>
        <w:gridCol w:w="231"/>
        <w:gridCol w:w="1089"/>
        <w:gridCol w:w="119"/>
        <w:gridCol w:w="109"/>
        <w:gridCol w:w="109"/>
        <w:gridCol w:w="109"/>
        <w:gridCol w:w="277"/>
        <w:gridCol w:w="1304"/>
        <w:gridCol w:w="143"/>
        <w:gridCol w:w="109"/>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4,106,613 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4,184,662 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4,155,095</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4,240,591</w:t>
            </w: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Major Customers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single customer or individual client accounted for more than 10% of our total revenues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ind w:left="0" w:right="0" w:hanging="360"/>
        <w:jc w:val="left"/>
        <w:rPr/>
      </w:pPr>
      <w:r>
        <w:rPr>
          <w:rFonts w:ascii="Times New Roman;serif" w:hAnsi="Times New Roman;serif"/>
          <w:b/>
          <w:color w:val="000000"/>
          <w:sz w:val="20"/>
        </w:rPr>
        <w:t>18</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Divestitures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 2024 (the "Initial Close") AB and Societe Generale ("SocGen") formed a global joint venture with two joint venture holding companies, one outside of North America ( the "ROW JV") and one within North America ("NA JV", and together the "JVs"). As of December 31, 2025, AB owned a 66.7% majority interest in the NA JV while SocGen owned a 51% majority interest in the ROW JV.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the greater value of the business AB contributed to the JVs at the Initial Close, SocGen paid AB $304.0 million in cash to equalize the value of the contributions by AB and SocGen to the JVs. The cash payment of $304.0 million included $102.6 million of prepaid consideration for an option, exercisable by AB during the following five years from the Initial Close, that would result in SocGen having a 51% ownership of the NA JV (the "AB option").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 2026 AB entered into an Amended and Restated Shareholder agreement with SocGen, (the "Amendment Agreement") and exercised the AB option to deliver a 17.7% interest in the NA JV to SocGen resulting in AB owning a 49% interest in the NA JV and SocGen having a majority interest of 51% in the NA JV. The prepaid consideration received was in excess of the carrying value of the 17.7% equity in the NA JV resulting in a gain of $48.4 million recognized in the first quarter of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the Amendment Agreement, on January 1, 2026, AB entered into a Contribution Agreement (the "Contribution Agreement") with SocGen. Prior to the Contribution Agreement, SocGen and AB had a 51% and 49% interest in both JVs, respectively. Under the Contribution Agreement, AB contributed its 49% interest in NA JV, and SocGen contributed its 51% interest in NA JV, for an equal interest in newly issued shares of ROW JV resulting in a single JV comprised of the operations and interest of both JVs (the "AB/SG JV"). AB maintains its additional option to sell its ownership interests in the AB/SG JV to SocGen after five years from the Initial Close, at the fair market value of AB’s interests in the AB/SG JV, subject to regulatory approval.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2.     </w:t>
      </w:r>
      <w:r>
        <w:rPr>
          <w:rFonts w:ascii="Times New Roman;serif" w:hAnsi="Times New Roman;serif"/>
          <w:b/>
          <w:color w:val="000000"/>
          <w:sz w:val="20"/>
          <w:u w:val="single"/>
        </w:rPr>
        <w:t>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u w:val="single"/>
        </w:rPr>
      </w:pPr>
      <w:r>
        <w:rPr>
          <w:rFonts w:ascii="Times New Roman;serif" w:hAnsi="Times New Roman;serif"/>
          <w:b/>
          <w:i/>
          <w:color w:val="000000"/>
          <w:sz w:val="20"/>
          <w:u w:val="single"/>
        </w:rPr>
        <w:t>Executive Overview</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total assets under management (“AUM”) as of March 31, 2026 were $838.6 billion, down $28.3 billion, or 3.3%, compared to December 31, 2025, and up $54.1 billion, or 6.9%, compared to March 31, 2025. During the first quarter of 2026 AUM decreased due to market depreciation of $21.2 billion and net outflows of $7.1 billion (Retail net outflows of $5.8 billion and Institutional net outflows of $1.9 billion, offset by Private Wealth net inflows of $0.6 billion).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Institutional AUM decreased $6.5 billion, or 1.8%, to $347.7 billion during the first quarter of 2026, primarily due to market depreciation of $5.0 billion and net outflows of $1.9 billion. Gross sales increased sequentially from $4.5 billion during the fourth quarter of 2025 to $5.6 billion during the first quarter of 2026. Redemptions and terminations decreased sequentially from $3.6 billion to $3.2 billion.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Retail AUM decreased $20.9 billion, or 5.9%, to $335.5 billion during the first quarter of 2026, primarily due to market depreciation of $14.7 billion and net outflows of $5.8 billion. Gross sales increased sequentially from $22.5 billion during the fourth quarter of 2025 to $23.1 billion during the first quarter of 2026. Redemptions and terminations increased sequentially from $23.0 billion to $26.3 billion.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Private Wealth AUM decreased $0.9 billion, or 0.6%, to $155.4 billion during the first quarter of 2026, due to market depreciation of $1.5 billion, offset by net inflows of $0.6 billion. Gross sales increased sequentially from $6.7 billion during the fourth quarter of 2025 to $6.9 billion during the first quarter of 2026. Redemptions and terminations increased sequentially from $6.0 billion to $6.3 billion.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Net revenues of $1.2 billion for the first quarter of 2026 increased $121.1 million, or 11.2%, compared to the first quarter of 2025. The increase was primarily due to investment gains compared to losses in the corresponding 2025 period primarily resulting from a gain of $48.4 million related to the exercise of the AB Option </w:t>
      </w:r>
      <w:r>
        <w:rPr>
          <w:rFonts w:ascii="Times New Roman;serif" w:hAnsi="Times New Roman;serif"/>
          <w:b w:val="false"/>
          <w:i/>
          <w:color w:val="000000"/>
          <w:sz w:val="20"/>
        </w:rPr>
        <w:t>as discussed below</w:t>
      </w:r>
      <w:r>
        <w:rPr>
          <w:rFonts w:ascii="Times New Roman;serif" w:hAnsi="Times New Roman;serif"/>
          <w:b w:val="false"/>
          <w:color w:val="000000"/>
          <w:sz w:val="20"/>
        </w:rPr>
        <w:t>, higher investment advisory base fees of $31.3 million, higher performance-based fees of $28.8 million and higher other revenues of $5.0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expenses for the first quarter of 2026 increased $30.7 million, or 3.6%, to $874.9 million from $844.2 million in the first quarter of 2025. The increase is primarily due to higher employee compensation and benefits expense of $47.0 million, partially offset by lower general and administrative expense of $17.5 million.</w:t>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income increased $90.4 million, or 38.3%, to $326.8 million from $236.4 million in the first quarter of 2025 and our operating margin increased to 26.1% in the first quarter of 2026 from 21.8% in the first quarter of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Market Environment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U.S. Equities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U.S. equity markets were volatile in the first quarter of 2026, as the S&amp;P 500 Index declined 4.3%, while small</w:t>
        <w:noBreakHyphen/>
        <w:t>cap stocks proved more resilient as the Russell 2000 returned 0.9%. The quarter began constructively, but sentiment reversed as concerns intensified around private credit, AI</w:t>
        <w:noBreakHyphen/>
        <w:t>related concerns, and escalating geopolitical tensions. Disruptions to oil flows through the Strait of Hormuz drove energy prices sharply higher, increasing uncertainty around inflation and the global growth outlook. These developments triggered a pronounced rotation, with value outperforming growth as sector leadership shifted meaningfully. Energy was the standout performer for the quarter, while materials and utilities also outperformed. In contrast, financials were pressured by heightened concerns over potential credit stress, and information technology declined as software stocks sold off. The evolving AI narrative further widened performance dispersion within technology, as investors differentiated between perceived long</w:t>
        <w:noBreakHyphen/>
        <w:t>term beneficiaries and companies facing competitive disruption. Softer labor market data, combined with higher energy prices, weighed on the consumer discretionary sector.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Global and Non-U.S. Equities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International equities reversed earlier quarterly gains and prior outperformance versus the U.S., while the MSCI World ex</w:t>
        <w:noBreakHyphen/>
        <w:t>USA Index declined 0.8% (gross, USD terms) in the first quarter of 2026. Performance weakened sharply in March following the outbreak of hostilities in the Middle East, as higher oil prices and supply disruptions weighed on global growth expectations. Eurozone equities declined amid renewed inflation concerns and policy uncertainty. Interest rates were held steady at the March meeting, though the European Central Bank President indicated that rates could be raised if higher energy prices threatened to reaccelerate inflation. U.K. equities delivered positive returns, with the MSCI U.K. Index advancing 2.0% (gross, USD terms). Gains were supported by the market’s relatively high exposure to energy stocks and a weaker pound, which benefited export</w:t>
        <w:noBreakHyphen/>
        <w:t>oriented large</w:t>
        <w:noBreakHyphen/>
        <w:t>cap companies. Japanese equities also posted modest gains, led by a strong rally in February following a decisive LDP victory in the House of Representatives election, which bolstered expectations for political stability and pro</w:t>
        <w:noBreakHyphen/>
        <w:t>growth policy continuity. Emerging market equities were slightly negative in the first quarter of 2026 but outperformed developed peers. Performance was supported by technology</w:t>
        <w:noBreakHyphen/>
        <w:t>heavy markets such as Korea and Taiwan, alongside strength in several Latin American countries. India underperformed amid a weaker rupee and rising energy costs, while Chinese equities declined as slow domestic growth and softer export demand continued to weigh on sentiment.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Global Bonds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Global government bond markets posted negative returns in the first quarter of 2026, as heightened geopolitical tensions, rising energy prices, and shifting policy expectations pushed yields higher across most developed markets. The Bloomberg Global Aggregate Bond Index declined 1.1% (total return, unhedged USD) during the quarter. While performance diverged by region, U.S. Treasuries proved more resilient than other major markets, where yields rose more sharply amid renewed inflation concerns. U.S. monetary policy remained on hold, with the Federal Reserve maintaining its policy rate at 3.5%–3.75%. Escalating geopolitical developments disrupted energy markets late in the quarter, driving oil prices higher and prompting a reassessment of inflation risks that contributed to a broad sell</w:t>
        <w:noBreakHyphen/>
        <w:t>off in government bonds during March. Credit markets were mixed, with investment</w:t>
        <w:noBreakHyphen/>
        <w:t>grade and high</w:t>
        <w:noBreakHyphen/>
        <w:t>yield corporates posting modest declines overall. U.S. corporate bonds outperformed eurozone peers, while securitized assets were relatively resilient, supported by carry and higher</w:t>
        <w:noBreakHyphen/>
        <w:t>quality structures.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Relationship with EQH and its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Permanent Capital Deployment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EQH (our parent company) and its subsidiaries are our largest client. EQH is collaborating with AB in order to improve the risk-adjusted yield for the General Accounts of EQH's insurance subsidiaries by investing additional assets at AB, including the utilization of AB's higher-fee, longer-duration alternative offerings. In mid-2021, Equitable Financial Life Insurance Company, a subsidiary of EQH ("Equitable Financial"), agreed to provide an initial $10 billion in permanent capital to build out AB's private illiquid offerings, including private alternatives and private placements. Deployment of the initial $10 billion in permanent capital is now complete. During the second quarter of 2023, EQH committed to provide an additional $10 billion in permanent capital, deployment of which is now also complete. We expect this capital from EQH's insurance subsidiaries will continue to accelerate both organic and inorganic growth in our private alternatives business, allowing us to continue to deliver for our clients, employees, unitholders and other stakeholders.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Permanent capital means investment capital of indefinite duration, for which commitments may be withdrawn under certain conditions. Such conditions primarily include potential regulatory restrictions, lacking sufficient liquidity to fund the capital commitments to AB and AB's inability to identify attractive investment opportunities which align with the investment strategy. Although EQH’s insurance subsidiaries have indicated their intention over time to provide this investment capital to AB, they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have no binding commitment to do so. While the withdrawal of their commitment could potentially slow down our introduction of certain products, the impact to our overall operations would not be material.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Equitable and Corebridge Merger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26, 2026, Equitable Holdings, Inc. and Corebridge Financial, Inc. entered into a Merger Agreement to combine their businesses. Through a series of transactions, both Equitable and Corebridge will continue to operate as direct, wholly-owned subsidiaries of a newly formed parent holding company ("HoldCo"). Upon closing, HoldCo will become the ultimate parent entity, to be renamed "Equitable Holdings, Inc.," and its common stock will trade on the NYSE. Upon completion of the transaction, Corebridge stockholders are expected to own approximately 51% of HoldCo, with Equitable stockholders owning approximately 49%, and the 14-member board of directors of HoldCo will include seven directors designated by Corebridge and seven directors designated by Equitable Holdings. No changes to AB’s Executive leadership, senior management, operating model, or ownership structure are anticipated as a result of this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completion of the merger remains subject to customary closing conditions, including the receipt of required regulatory approvals and approval of shareholders of both Corebridge and EQH.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as part of this strategic merger, AB is expected to benefit from a substantial increase in assets under management over time, with an estimated $100 billion in assets anticipated to be transferred to AB. Notably, AB will have the opportunity to manage a larger pool of general account insurance assets and to collaborate closely on Retirement solutions, particularly leveraging AB’s industry-leading Lifetime Income platform.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Joint Venture with Societe Generale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 2024 (the "Initial Close") AB and Societe Generale ("SocGen") formed a global joint venture with two joint venture holding companies, one outside of North America ( the "ROW JV") and one within North America ("NA JV", and together the "JVs"). As of December 31, 2025, AB owned a 66.7% majority interest in the NA JV while SocGen owned a 51% majority interest in the ROW JV.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the greater value of the business AB contributed to the JVs at the Initial Close, SocGen paid AB $304.0 million in cash to equalize the value of the contributions by AB and SocGen to the JVs. The cash payment of $304.0 million included $102.6 million of prepaid consideration for an option, exercisable by AB during the following five years from the Initial Close, that would result in SocGen having a 51% ownership of the NA JV (the "AB option").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 2026 AB entered into an Amended and Restated Shareholder agreement with SocGen, (the "Amendment Agreement") and exercised the AB option to deliver a 17.7% interest in the NA JV to SocGen resulting in AB owning a 49% interest in the NA JV and SocGen having a majority interest of 51% in the NA JV. The prepaid consideration received was in excess of the carrying value of the 17.7% equity in the NA JV resulting in a gain of $48.4 million recognized in the first quarter of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the Amendment Agreement, on January 1, 2026, AB entered into a Contribution Agreement (the "Contribution Agreement") with SocGen. Prior to the Contribution Agreement, SocGen and AB had a 51% and 49% interest in both JVs, respectively. Under the Contribution Agreement, AB contributed its 49% interest in NA JV, and SocGen contributed its 51% interest in NA JV, for an equal interest in newly issued shares of ROW JV resulting in a single JV comprised of the operations and interest of both JVs (the "AB/SG JV"). AB maintains its additional option to sell its ownership interests in the AB/SG JV to SocGen after five years from the Initial Close, at the fair market value of AB’s interests in the AB/SG JV, subject to regulatory approval. </w:t>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Assets Under Management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Assets under management by distribution channel are as follows:</w:t>
      </w:r>
    </w:p>
    <w:tbl>
      <w:tblPr>
        <w:tblW w:w="6250" w:type="dxa"/>
        <w:jc w:val="left"/>
        <w:tblInd w:w="0" w:type="dxa"/>
        <w:tblLayout w:type="fixed"/>
        <w:tblCellMar>
          <w:top w:w="28" w:type="dxa"/>
          <w:left w:w="28" w:type="dxa"/>
          <w:bottom w:w="28" w:type="dxa"/>
          <w:right w:w="28" w:type="dxa"/>
        </w:tblCellMar>
      </w:tblPr>
      <w:tblGrid>
        <w:gridCol w:w="478"/>
        <w:gridCol w:w="419"/>
        <w:gridCol w:w="422"/>
        <w:gridCol w:w="211"/>
        <w:gridCol w:w="631"/>
        <w:gridCol w:w="109"/>
        <w:gridCol w:w="109"/>
        <w:gridCol w:w="109"/>
        <w:gridCol w:w="109"/>
        <w:gridCol w:w="211"/>
        <w:gridCol w:w="631"/>
        <w:gridCol w:w="109"/>
        <w:gridCol w:w="109"/>
        <w:gridCol w:w="109"/>
        <w:gridCol w:w="109"/>
        <w:gridCol w:w="224"/>
        <w:gridCol w:w="560"/>
        <w:gridCol w:w="117"/>
        <w:gridCol w:w="109"/>
        <w:gridCol w:w="109"/>
        <w:gridCol w:w="109"/>
        <w:gridCol w:w="255"/>
        <w:gridCol w:w="256"/>
        <w:gridCol w:w="636"/>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Wealth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838.6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784.5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54.1</w:t>
            </w:r>
            <w:r>
              <w:rPr>
                <w:color w:val="000000"/>
              </w:rPr>
              <w:t>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Assets under management by investment service are as follows:</w:t>
      </w:r>
    </w:p>
    <w:tbl>
      <w:tblPr>
        <w:tblW w:w="8456" w:type="dxa"/>
        <w:jc w:val="left"/>
        <w:tblInd w:w="0" w:type="dxa"/>
        <w:tblLayout w:type="fixed"/>
        <w:tblCellMar>
          <w:top w:w="28" w:type="dxa"/>
          <w:left w:w="28" w:type="dxa"/>
          <w:bottom w:w="28" w:type="dxa"/>
          <w:right w:w="28" w:type="dxa"/>
        </w:tblCellMar>
      </w:tblPr>
      <w:tblGrid>
        <w:gridCol w:w="1267"/>
        <w:gridCol w:w="1117"/>
        <w:gridCol w:w="1126"/>
        <w:gridCol w:w="211"/>
        <w:gridCol w:w="631"/>
        <w:gridCol w:w="109"/>
        <w:gridCol w:w="109"/>
        <w:gridCol w:w="109"/>
        <w:gridCol w:w="109"/>
        <w:gridCol w:w="211"/>
        <w:gridCol w:w="631"/>
        <w:gridCol w:w="109"/>
        <w:gridCol w:w="109"/>
        <w:gridCol w:w="109"/>
        <w:gridCol w:w="109"/>
        <w:gridCol w:w="224"/>
        <w:gridCol w:w="560"/>
        <w:gridCol w:w="117"/>
        <w:gridCol w:w="109"/>
        <w:gridCol w:w="109"/>
        <w:gridCol w:w="109"/>
        <w:gridCol w:w="262"/>
        <w:gridCol w:w="264"/>
        <w:gridCol w:w="636"/>
      </w:tblGrid>
      <w:tr>
        <w:trPr/>
        <w:tc>
          <w:tcPr>
            <w:tcW w:w="126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Actively Managed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Passively Managed</w:t>
            </w:r>
            <w:r>
              <w:rPr>
                <w:rFonts w:ascii="Times New Roman;serif" w:hAnsi="Times New Roman;serif"/>
                <w:b w:val="false"/>
                <w:color w:val="000000"/>
                <w:sz w:val="13"/>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Fixed Income</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Actively Managed</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Tax–exempt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Passively Managed</w:t>
            </w:r>
            <w:r>
              <w:rPr>
                <w:rFonts w:ascii="Times New Roman;serif" w:hAnsi="Times New Roman;serif"/>
                <w:b w:val="false"/>
                <w:color w:val="000000"/>
                <w:sz w:val="13"/>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Fixed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Alternatives/Multi-Asset Solutions</w:t>
            </w:r>
            <w:r>
              <w:rPr>
                <w:rFonts w:ascii="Times New Roman;serif" w:hAnsi="Times New Roman;serif"/>
                <w:b/>
                <w:color w:val="000000"/>
                <w:sz w:val="13"/>
              </w:rPr>
              <w:t>(2)</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Actively Managed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Passively Managed</w:t>
            </w:r>
            <w:r>
              <w:rPr>
                <w:rFonts w:ascii="Times New Roman;serif" w:hAnsi="Times New Roman;serif"/>
                <w:b w:val="false"/>
                <w:color w:val="000000"/>
                <w:sz w:val="13"/>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Alternatives/Multi-Asset Solutions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w:t>
            </w:r>
            <w:r>
              <w:rPr>
                <w:color w:val="000000"/>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54.1</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rFonts w:ascii="Times New Roman;serif" w:hAnsi="Times New Roman;serif"/>
          <w:b w:val="false"/>
          <w:color w:val="000000"/>
          <w:sz w:val="18"/>
        </w:rPr>
        <w:t>Includes index and enhanced index services.</w:t>
      </w:r>
    </w:p>
    <w:p>
      <w:pPr>
        <w:pStyle w:val="TextBody"/>
        <w:bidi w:val="0"/>
        <w:spacing w:lineRule="auto" w:line="288" w:before="0" w:after="0"/>
        <w:ind w:left="0" w:right="0" w:hanging="720"/>
        <w:jc w:val="both"/>
        <w:rPr/>
      </w:pPr>
      <w:r>
        <w:rPr>
          <w:rFonts w:ascii="Times New Roman;serif" w:hAnsi="Times New Roman;serif"/>
          <w:b w:val="false"/>
          <w:color w:val="000000"/>
          <w:sz w:val="13"/>
        </w:rPr>
        <w:t>(2)</w:t>
      </w:r>
      <w:r>
        <w:rPr>
          <w:rFonts w:ascii="Times New Roman;serif" w:hAnsi="Times New Roman;serif"/>
          <w:b w:val="false"/>
          <w:color w:val="000000"/>
          <w:sz w:val="18"/>
        </w:rPr>
        <w:t>Includes certain multi-asset solutions and services not included in equity or fixed income services.</w:t>
      </w:r>
    </w:p>
    <w:p>
      <w:pPr>
        <w:pStyle w:val="TextBody"/>
        <w:bidi w:val="0"/>
        <w:spacing w:before="0" w:after="0"/>
        <w:ind w:left="0" w:right="0" w:firstLine="36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assets under management for the three-month and twelve-month periods ended March 31, 2026 are as follows:</w:t>
      </w:r>
    </w:p>
    <w:p>
      <w:pPr>
        <w:pStyle w:val="TextBody"/>
        <w:bidi w:val="0"/>
        <w:spacing w:before="0" w:after="0"/>
        <w:jc w:val="left"/>
        <w:rPr/>
      </w:pPr>
      <w:r>
        <w:rPr/>
      </w:r>
    </w:p>
    <w:tbl>
      <w:tblPr>
        <w:tblW w:w="7824" w:type="dxa"/>
        <w:jc w:val="left"/>
        <w:tblInd w:w="0" w:type="dxa"/>
        <w:tblLayout w:type="fixed"/>
        <w:tblCellMar>
          <w:top w:w="28" w:type="dxa"/>
          <w:left w:w="28" w:type="dxa"/>
          <w:bottom w:w="28" w:type="dxa"/>
          <w:right w:w="28" w:type="dxa"/>
        </w:tblCellMar>
      </w:tblPr>
      <w:tblGrid>
        <w:gridCol w:w="1048"/>
        <w:gridCol w:w="920"/>
        <w:gridCol w:w="926"/>
        <w:gridCol w:w="233"/>
        <w:gridCol w:w="697"/>
        <w:gridCol w:w="121"/>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Distribution Channel</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Institutions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Private</w:t>
              <w:br/>
              <w:t>Wealth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billions)</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flows: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Sales/new accounts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Redemptions/terminations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flow/unreinvested dividends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long-term (outflows) inflows</w:t>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(depreciation)</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347.7</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838.6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flows: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Sales/new accounts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Redemptions/terminations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flow/unreinvested dividends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long-term (outflows) inflows</w:t>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appreciation</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347.7</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838.6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75"/>
        <w:gridCol w:w="309"/>
        <w:gridCol w:w="312"/>
        <w:gridCol w:w="211"/>
        <w:gridCol w:w="631"/>
        <w:gridCol w:w="109"/>
        <w:gridCol w:w="109"/>
        <w:gridCol w:w="109"/>
        <w:gridCol w:w="109"/>
        <w:gridCol w:w="235"/>
        <w:gridCol w:w="589"/>
        <w:gridCol w:w="123"/>
        <w:gridCol w:w="109"/>
        <w:gridCol w:w="109"/>
        <w:gridCol w:w="109"/>
        <w:gridCol w:w="211"/>
        <w:gridCol w:w="631"/>
        <w:gridCol w:w="109"/>
        <w:gridCol w:w="109"/>
        <w:gridCol w:w="109"/>
        <w:gridCol w:w="109"/>
        <w:gridCol w:w="224"/>
        <w:gridCol w:w="561"/>
        <w:gridCol w:w="117"/>
        <w:gridCol w:w="109"/>
        <w:gridCol w:w="109"/>
        <w:gridCol w:w="109"/>
        <w:gridCol w:w="240"/>
        <w:gridCol w:w="582"/>
        <w:gridCol w:w="125"/>
        <w:gridCol w:w="109"/>
        <w:gridCol w:w="109"/>
        <w:gridCol w:w="109"/>
        <w:gridCol w:w="275"/>
        <w:gridCol w:w="825"/>
        <w:gridCol w:w="144"/>
        <w:gridCol w:w="109"/>
        <w:gridCol w:w="109"/>
        <w:gridCol w:w="109"/>
        <w:gridCol w:w="211"/>
        <w:gridCol w:w="631"/>
        <w:gridCol w:w="163"/>
      </w:tblGrid>
      <w:tr>
        <w:trPr/>
        <w:tc>
          <w:tcPr>
            <w:tcW w:w="67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 Service</w:t>
            </w:r>
          </w:p>
        </w:tc>
      </w:tr>
      <w:tr>
        <w:trPr/>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Equity</w:t>
              <w:br/>
              <w:t>Actively</w:t>
              <w:br/>
              <w:t>Managed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Equity</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Passively</w:t>
            </w:r>
          </w:p>
          <w:p>
            <w:pPr>
              <w:pStyle w:val="TableContents"/>
              <w:bidi w:val="0"/>
              <w:spacing w:lineRule="auto" w:line="240" w:before="0" w:after="0"/>
              <w:jc w:val="center"/>
              <w:rPr/>
            </w:pPr>
            <w:r>
              <w:rPr>
                <w:rFonts w:ascii="Times New Roman;serif" w:hAnsi="Times New Roman;serif"/>
                <w:b/>
                <w:color w:val="000000"/>
                <w:sz w:val="20"/>
              </w:rPr>
              <w:t>Managed</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Fixed</w:t>
              <w:br/>
              <w:t>Income</w:t>
              <w:br/>
              <w:t>Actively</w:t>
              <w:br/>
              <w:t>Managed -</w:t>
              <w:br/>
              <w:t>Taxable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Fixed</w:t>
              <w:br/>
              <w:t>Income</w:t>
              <w:br/>
              <w:t>Actively</w:t>
              <w:br/>
              <w:t>Managed -</w:t>
              <w:br/>
              <w:t>Tax-</w:t>
              <w:br/>
              <w:t>Exempt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Fixed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Income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Passively</w:t>
            </w:r>
          </w:p>
          <w:p>
            <w:pPr>
              <w:pStyle w:val="TableContents"/>
              <w:bidi w:val="0"/>
              <w:spacing w:lineRule="auto" w:line="240" w:before="0" w:after="0"/>
              <w:jc w:val="center"/>
              <w:rPr/>
            </w:pPr>
            <w:r>
              <w:rPr>
                <w:rFonts w:ascii="Times New Roman;serif" w:hAnsi="Times New Roman;serif"/>
                <w:b/>
                <w:color w:val="000000"/>
                <w:sz w:val="20"/>
              </w:rPr>
              <w:t>Managed</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Alternatives/ Multi-Asset Solutions</w:t>
            </w:r>
            <w:r>
              <w:rPr>
                <w:rFonts w:ascii="Times New Roman;serif" w:hAnsi="Times New Roman;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billions)</w:t>
            </w:r>
          </w:p>
        </w:tc>
      </w:tr>
      <w:tr>
        <w:trPr/>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flows:</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Sales/new accounts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Redemptions/terminations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flow/unreinvested dividends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long-term (outflows) inflows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2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 (depreciation)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74.7</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198.4</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838.6</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2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2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2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2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2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2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2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2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2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2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flows: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Sales/new accounts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Redemptions/terminations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flow/unreinvested dividends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long-term (outflows) inflows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appreciation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74.7</w:t>
            </w: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93.9</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198.4</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838.6</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pPr>
      <w:r>
        <w:rPr>
          <w:rFonts w:ascii="Times New Roman;serif" w:hAnsi="Times New Roman;serif"/>
          <w:b w:val="false"/>
          <w:color w:val="000000"/>
          <w:sz w:val="12"/>
        </w:rPr>
        <w:t>(1)</w:t>
      </w:r>
      <w:r>
        <w:rPr>
          <w:rFonts w:ascii="Times New Roman;serif" w:hAnsi="Times New Roman;serif"/>
          <w:b w:val="false"/>
          <w:color w:val="000000"/>
          <w:sz w:val="18"/>
        </w:rPr>
        <w:t>Includes index and enhanced index services.</w:t>
      </w:r>
    </w:p>
    <w:p>
      <w:pPr>
        <w:pStyle w:val="TextBody"/>
        <w:bidi w:val="0"/>
        <w:spacing w:lineRule="auto" w:line="288"/>
        <w:ind w:left="0" w:right="0" w:hanging="720"/>
        <w:jc w:val="both"/>
        <w:rPr/>
      </w:pPr>
      <w:r>
        <w:rPr>
          <w:rFonts w:ascii="Times New Roman;serif" w:hAnsi="Times New Roman;serif"/>
          <w:b w:val="false"/>
          <w:color w:val="000000"/>
          <w:sz w:val="12"/>
        </w:rPr>
        <w:t>(2)</w:t>
      </w:r>
      <w:r>
        <w:rPr>
          <w:rFonts w:ascii="Times New Roman;serif" w:hAnsi="Times New Roman;serif"/>
          <w:b w:val="false"/>
          <w:color w:val="000000"/>
          <w:sz w:val="18"/>
        </w:rPr>
        <w:t>Includes certain multi-asset solutions and services not included in equity or fixed income services.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long-term inflows (outflows) for actively managed investment services as compared to passively managed investment services for the three-month and twelve-month periods ended March 31, 2026 are as follows:</w:t>
      </w:r>
    </w:p>
    <w:tbl>
      <w:tblPr>
        <w:tblW w:w="6797" w:type="dxa"/>
        <w:jc w:val="center"/>
        <w:tblInd w:w="0" w:type="dxa"/>
        <w:tblLayout w:type="fixed"/>
        <w:tblCellMar>
          <w:top w:w="28" w:type="dxa"/>
          <w:left w:w="28" w:type="dxa"/>
          <w:bottom w:w="28" w:type="dxa"/>
          <w:right w:w="28" w:type="dxa"/>
        </w:tblCellMar>
      </w:tblPr>
      <w:tblGrid>
        <w:gridCol w:w="1190"/>
        <w:gridCol w:w="1044"/>
        <w:gridCol w:w="1050"/>
        <w:gridCol w:w="109"/>
        <w:gridCol w:w="112"/>
        <w:gridCol w:w="112"/>
        <w:gridCol w:w="112"/>
        <w:gridCol w:w="321"/>
        <w:gridCol w:w="802"/>
        <w:gridCol w:w="168"/>
        <w:gridCol w:w="112"/>
        <w:gridCol w:w="112"/>
        <w:gridCol w:w="112"/>
        <w:gridCol w:w="290"/>
        <w:gridCol w:w="723"/>
        <w:gridCol w:w="428"/>
      </w:tblGrid>
      <w:tr>
        <w:trPr/>
        <w:tc>
          <w:tcPr>
            <w:tcW w:w="119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40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Periods Ended March 31, 2026</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Three-months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Twelve-months</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40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billions)</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Actively Managed</w:t>
            </w:r>
          </w:p>
        </w:tc>
        <w:tc>
          <w:tcPr>
            <w:tcW w:w="109"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Equity</w:t>
            </w:r>
          </w:p>
        </w:tc>
        <w:tc>
          <w:tcPr>
            <w:tcW w:w="109"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color w:val="000000"/>
              </w:rPr>
            </w:pPr>
            <w:r>
              <w:rPr>
                <w:color w:val="000000"/>
              </w:rPr>
              <w:t> </w:t>
            </w:r>
            <w:r>
              <w:rPr>
                <w:rFonts w:ascii="Times New Roman;serif" w:hAnsi="Times New Roman;serif"/>
                <w:b w:val="false"/>
                <w:color w:val="000000"/>
                <w:sz w:val="20"/>
              </w:rPr>
              <w:t xml:space="preserve">Fixed Income </w:t>
            </w:r>
          </w:p>
        </w:tc>
        <w:tc>
          <w:tcPr>
            <w:tcW w:w="109"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2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Alternatives/Multi-Asset Solutions</w:t>
            </w:r>
          </w:p>
        </w:tc>
        <w:tc>
          <w:tcPr>
            <w:tcW w:w="109"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Actively Managed</w:t>
            </w:r>
          </w:p>
        </w:tc>
        <w:tc>
          <w:tcPr>
            <w:tcW w:w="109"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(18.3)</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Passively Managed</w:t>
            </w:r>
          </w:p>
        </w:tc>
        <w:tc>
          <w:tcPr>
            <w:tcW w:w="109"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Equity</w:t>
            </w:r>
          </w:p>
        </w:tc>
        <w:tc>
          <w:tcPr>
            <w:tcW w:w="109"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color w:val="000000"/>
              </w:rPr>
            </w:pPr>
            <w:r>
              <w:rPr>
                <w:color w:val="000000"/>
              </w:rPr>
              <w:t> </w:t>
            </w:r>
            <w:r>
              <w:rPr>
                <w:rFonts w:ascii="Times New Roman;serif" w:hAnsi="Times New Roman;serif"/>
                <w:b w:val="false"/>
                <w:color w:val="000000"/>
                <w:sz w:val="20"/>
              </w:rPr>
              <w:t xml:space="preserve">Fixed Income </w:t>
            </w:r>
          </w:p>
        </w:tc>
        <w:tc>
          <w:tcPr>
            <w:tcW w:w="109"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2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Alternatives/Multi-Asset Solutions</w:t>
            </w:r>
          </w:p>
        </w:tc>
        <w:tc>
          <w:tcPr>
            <w:tcW w:w="109"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Passively Managed</w:t>
            </w:r>
          </w:p>
        </w:tc>
        <w:tc>
          <w:tcPr>
            <w:tcW w:w="109"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(0.8)</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long-term inflows (outflows)</w:t>
            </w:r>
          </w:p>
        </w:tc>
        <w:tc>
          <w:tcPr>
            <w:tcW w:w="109"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(20.8)</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Average assets under management by distribution channel and investment service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20"/>
        <w:gridCol w:w="946"/>
        <w:gridCol w:w="950"/>
        <w:gridCol w:w="109"/>
        <w:gridCol w:w="109"/>
        <w:gridCol w:w="109"/>
        <w:gridCol w:w="109"/>
        <w:gridCol w:w="109"/>
        <w:gridCol w:w="109"/>
        <w:gridCol w:w="109"/>
        <w:gridCol w:w="109"/>
        <w:gridCol w:w="109"/>
        <w:gridCol w:w="207"/>
        <w:gridCol w:w="207"/>
        <w:gridCol w:w="401"/>
        <w:gridCol w:w="1202"/>
        <w:gridCol w:w="207"/>
        <w:gridCol w:w="109"/>
        <w:gridCol w:w="109"/>
        <w:gridCol w:w="109"/>
        <w:gridCol w:w="211"/>
        <w:gridCol w:w="631"/>
        <w:gridCol w:w="109"/>
        <w:gridCol w:w="109"/>
        <w:gridCol w:w="109"/>
        <w:gridCol w:w="109"/>
        <w:gridCol w:w="224"/>
        <w:gridCol w:w="560"/>
        <w:gridCol w:w="117"/>
        <w:gridCol w:w="109"/>
        <w:gridCol w:w="109"/>
        <w:gridCol w:w="109"/>
        <w:gridCol w:w="255"/>
        <w:gridCol w:w="256"/>
        <w:gridCol w:w="640"/>
      </w:tblGrid>
      <w:tr>
        <w:trPr/>
        <w:tc>
          <w:tcPr>
            <w:tcW w:w="112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6"/>
            <w:tcBorders/>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12"/>
            <w:tcBorders/>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Distribution Channel: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6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Wealth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865.0</w:t>
            </w:r>
            <w:r>
              <w:rPr>
                <w:color w:val="000000"/>
              </w:rPr>
              <w:t> </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797.5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67.5</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6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Investment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Actively Managed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Passively Managed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Actively Managed – Taxable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Actively Managed – Tax-exempt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Fixed Income Passively Managed</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6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Alternatives/Multi-Asset Solutions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865.0</w:t>
            </w:r>
            <w:r>
              <w:rPr>
                <w:color w:val="000000"/>
              </w:rPr>
              <w:t> </w:t>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797.5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67.5</w:t>
            </w:r>
            <w:r>
              <w:rPr>
                <w:color w:val="000000"/>
              </w:rPr>
              <w:t>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6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rFonts w:ascii="Times New Roman;serif" w:hAnsi="Times New Roman;serif"/>
          <w:b w:val="false"/>
          <w:color w:val="000000"/>
          <w:sz w:val="18"/>
        </w:rPr>
        <w:t>Includes index and enhanced index services.</w:t>
      </w:r>
    </w:p>
    <w:p>
      <w:pPr>
        <w:pStyle w:val="TextBody"/>
        <w:bidi w:val="0"/>
        <w:spacing w:lineRule="auto" w:line="288" w:before="0" w:after="0"/>
        <w:ind w:left="0" w:right="0" w:hanging="720"/>
        <w:jc w:val="both"/>
        <w:rPr/>
      </w:pPr>
      <w:r>
        <w:rPr>
          <w:rFonts w:ascii="Times New Roman;serif" w:hAnsi="Times New Roman;serif"/>
          <w:b w:val="false"/>
          <w:color w:val="000000"/>
          <w:sz w:val="13"/>
        </w:rPr>
        <w:t>(2)</w:t>
      </w:r>
      <w:r>
        <w:rPr>
          <w:rFonts w:ascii="Times New Roman;serif" w:hAnsi="Times New Roman;serif"/>
          <w:b w:val="false"/>
          <w:color w:val="000000"/>
          <w:sz w:val="18"/>
        </w:rPr>
        <w:t xml:space="preserve">Includes certain multi-asset solutions and services not included in equity of fixed income services. </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Our Institutional channel first quarter average AUM of $355.7 billion increased $30.5 billion, or 9.4%, compared to the first quarter of 2025, while Institutional channel first quarter ending AUM increased $23.6 billion, or 7.3%, to $347.7 billion from March 31, 2025. The $23.6 billion increase in AUM resulted primarily from market appreciation of $30.3 billion, offset by net outflows of $7.2 billion from March 31,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Retail channel first quarter average AUM of $351.2 billion increased $16.8 billion, or 5.0%, compared to the first quarter of 2025, while Retail channel first quarter ending AUM increased $11.4 billion, or 3.5%, to $335.5 billion from March 31, 2025. The $11.4 billion increase resulted primarily from market appreciation of $27.7 billion, offset by net outflows of $15.8 billion from March 31,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Private Wealth channel first quarter average AUM of $158.1 billion increased $20.2 billion, or 14.6%, compared to the first quarter of 2025, while Private Wealth channel first quarter ending AUM increased $19.1 billion, or 14.0%, to $155.4 billion from March 31, 2025. The $19.1 billion increase resulted from market appreciation of $16.9 billion and net inflows of $2.2 billion from March 31, 2025.</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Absolute investment composite returns, gross of fees, and relative performance as of March 31, 2026 compared to benchmarks for certain representative Institutional equity and fixed income services are as follows:</w:t>
      </w:r>
    </w:p>
    <w:tbl>
      <w:tblPr>
        <w:tblW w:w="10205" w:type="dxa"/>
        <w:jc w:val="center"/>
        <w:tblInd w:w="0" w:type="dxa"/>
        <w:tblLayout w:type="fixed"/>
        <w:tblCellMar>
          <w:top w:w="28" w:type="dxa"/>
          <w:left w:w="28" w:type="dxa"/>
          <w:bottom w:w="28" w:type="dxa"/>
          <w:right w:w="28" w:type="dxa"/>
        </w:tblCellMar>
      </w:tblPr>
      <w:tblGrid>
        <w:gridCol w:w="2241"/>
        <w:gridCol w:w="1961"/>
        <w:gridCol w:w="1968"/>
        <w:gridCol w:w="342"/>
        <w:gridCol w:w="346"/>
        <w:gridCol w:w="381"/>
        <w:gridCol w:w="109"/>
        <w:gridCol w:w="109"/>
        <w:gridCol w:w="109"/>
        <w:gridCol w:w="341"/>
        <w:gridCol w:w="347"/>
        <w:gridCol w:w="471"/>
        <w:gridCol w:w="109"/>
        <w:gridCol w:w="109"/>
        <w:gridCol w:w="109"/>
        <w:gridCol w:w="306"/>
        <w:gridCol w:w="310"/>
        <w:gridCol w:w="537"/>
      </w:tblGrid>
      <w:tr>
        <w:trPr/>
        <w:tc>
          <w:tcPr>
            <w:tcW w:w="2241"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6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3-Year</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5-Year</w:t>
            </w:r>
            <w:r>
              <w:rPr>
                <w:rFonts w:ascii="Times New Roman;serif" w:hAnsi="Times New Roman;serif"/>
                <w:b/>
                <w:color w:val="000000"/>
                <w:sz w:val="13"/>
              </w:rPr>
              <w:t>(1)</w:t>
            </w:r>
          </w:p>
        </w:tc>
      </w:tr>
      <w:tr>
        <w:trPr/>
        <w:tc>
          <w:tcPr>
            <w:tcW w:w="6170"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6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(fixed income)</w:t>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Bloomberg Barclays U.S. Aggregate Index)</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High Income (fixed income)</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Bloomberg Barclays Global High Yield Index - Hedged)</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Global Plus - Hedged (fixed income)</w:t>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Bloomberg Barclays Global Aggregate Index - Hedged)</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Intermediate Municipal Bonds (fixed income)</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Lipper Short/Int. Blended Muni Fund Avg)</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Core Fixed Income (fixed income)</w:t>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Bloomberg Barclays U.S. Aggregate Index)</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Emerging Market Debt (fixed income)</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JPM EMBI Global/JPM EMBI)</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Sustainable Global Thematic</w:t>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MSCI ACWI Index)</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 Strategic Core Equity</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MSCI EAFE Index)</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Small &amp; Mid Cap Value</w:t>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Russell 2500 Value Index)</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Large Cap Value</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Russell 1000 Value Index)</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Small Cap Growth</w:t>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Russell 2000 Growth Index)</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tbl>
      <w:tblPr>
        <w:tblW w:w="7635" w:type="dxa"/>
        <w:jc w:val="center"/>
        <w:tblInd w:w="0" w:type="dxa"/>
        <w:tblLayout w:type="fixed"/>
        <w:tblCellMar>
          <w:top w:w="28" w:type="dxa"/>
          <w:left w:w="28" w:type="dxa"/>
          <w:bottom w:w="28" w:type="dxa"/>
          <w:right w:w="28" w:type="dxa"/>
        </w:tblCellMar>
      </w:tblPr>
      <w:tblGrid>
        <w:gridCol w:w="1481"/>
        <w:gridCol w:w="1305"/>
        <w:gridCol w:w="1308"/>
        <w:gridCol w:w="344"/>
        <w:gridCol w:w="346"/>
        <w:gridCol w:w="231"/>
        <w:gridCol w:w="109"/>
        <w:gridCol w:w="109"/>
        <w:gridCol w:w="109"/>
        <w:gridCol w:w="344"/>
        <w:gridCol w:w="346"/>
        <w:gridCol w:w="286"/>
        <w:gridCol w:w="109"/>
        <w:gridCol w:w="109"/>
        <w:gridCol w:w="109"/>
        <w:gridCol w:w="308"/>
        <w:gridCol w:w="308"/>
        <w:gridCol w:w="374"/>
      </w:tblGrid>
      <w:tr>
        <w:trPr/>
        <w:tc>
          <w:tcPr>
            <w:tcW w:w="14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3-Year</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5-Year</w:t>
            </w:r>
            <w:r>
              <w:rPr>
                <w:rFonts w:ascii="Times New Roman;serif" w:hAnsi="Times New Roman;serif"/>
                <w:b/>
                <w:color w:val="000000"/>
                <w:sz w:val="13"/>
              </w:rPr>
              <w:t>(1)</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Large Cap Growth</w:t>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Russell 1000 Growth Index)</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Small &amp; Mid Cap Growth</w:t>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Russell 2500 Growth Index)</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Concentrated U.S. Growth</w:t>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S&amp;P 500 Index)</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 U.S. Equity</w:t>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S&amp;P 500 Index)</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Strategic Equities</w:t>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Russell 3000 Index)</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Global Core Equity</w:t>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MSCI ACWI Index)</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Strategic Core Equity</w:t>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S&amp;P 500 Index)</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 U.S. Equity Long/Short</w:t>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S&amp;P 500 Index)</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Global Strategic Core Equity </w:t>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MSCI World Index - Hedged)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rFonts w:ascii="Times New Roman;serif" w:hAnsi="Times New Roman;serif"/>
          <w:b w:val="false"/>
          <w:color w:val="000000"/>
          <w:sz w:val="18"/>
        </w:rPr>
        <w:t>Reflects annualized returns.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Consolidated Results of Operations</w:t>
      </w:r>
    </w:p>
    <w:tbl>
      <w:tblPr>
        <w:tblW w:w="10205" w:type="dxa"/>
        <w:jc w:val="left"/>
        <w:tblInd w:w="0" w:type="dxa"/>
        <w:tblLayout w:type="fixed"/>
        <w:tblCellMar>
          <w:top w:w="28" w:type="dxa"/>
          <w:left w:w="28" w:type="dxa"/>
          <w:bottom w:w="28" w:type="dxa"/>
          <w:right w:w="28" w:type="dxa"/>
        </w:tblCellMar>
      </w:tblPr>
      <w:tblGrid>
        <w:gridCol w:w="974"/>
        <w:gridCol w:w="859"/>
        <w:gridCol w:w="737"/>
        <w:gridCol w:w="109"/>
        <w:gridCol w:w="109"/>
        <w:gridCol w:w="109"/>
        <w:gridCol w:w="109"/>
        <w:gridCol w:w="109"/>
        <w:gridCol w:w="109"/>
        <w:gridCol w:w="109"/>
        <w:gridCol w:w="109"/>
        <w:gridCol w:w="109"/>
        <w:gridCol w:w="126"/>
        <w:gridCol w:w="126"/>
        <w:gridCol w:w="244"/>
        <w:gridCol w:w="1131"/>
        <w:gridCol w:w="314"/>
        <w:gridCol w:w="109"/>
        <w:gridCol w:w="109"/>
        <w:gridCol w:w="109"/>
        <w:gridCol w:w="211"/>
        <w:gridCol w:w="976"/>
        <w:gridCol w:w="271"/>
        <w:gridCol w:w="109"/>
        <w:gridCol w:w="109"/>
        <w:gridCol w:w="109"/>
        <w:gridCol w:w="211"/>
        <w:gridCol w:w="826"/>
        <w:gridCol w:w="109"/>
        <w:gridCol w:w="109"/>
        <w:gridCol w:w="109"/>
        <w:gridCol w:w="109"/>
        <w:gridCol w:w="255"/>
        <w:gridCol w:w="256"/>
        <w:gridCol w:w="617"/>
      </w:tblGrid>
      <w:tr>
        <w:trPr/>
        <w:tc>
          <w:tcPr>
            <w:tcW w:w="97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6"/>
            <w:tcBorders/>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unit amounts)</w:t>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1,201,726 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1,080,607 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874,926 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326,800 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18,164 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308,636 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of consolidated entities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13,151 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AB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295,485 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6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per AB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6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margin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75"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3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rFonts w:ascii="Times New Roman;serif" w:hAnsi="Times New Roman;serif"/>
          <w:b w:val="false"/>
          <w:color w:val="000000"/>
          <w:sz w:val="18"/>
        </w:rPr>
        <w:t>Operating income excluding net income (loss) attributable to non-controlling interests as a percentage of net revenues.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AB Unitholders for the three months ended March 31, 2026 increased $74.7 million, or 33.8%, from the three months ended March 31, 2025. The increase primarily is due to (in millions):</w:t>
      </w:r>
    </w:p>
    <w:tbl>
      <w:tblPr>
        <w:tblW w:w="7641" w:type="dxa"/>
        <w:jc w:val="left"/>
        <w:tblInd w:w="0" w:type="dxa"/>
        <w:tblLayout w:type="fixed"/>
        <w:tblCellMar>
          <w:top w:w="28" w:type="dxa"/>
          <w:left w:w="28" w:type="dxa"/>
          <w:bottom w:w="28" w:type="dxa"/>
          <w:right w:w="28" w:type="dxa"/>
        </w:tblCellMar>
      </w:tblPr>
      <w:tblGrid>
        <w:gridCol w:w="2447"/>
        <w:gridCol w:w="2148"/>
        <w:gridCol w:w="2155"/>
        <w:gridCol w:w="211"/>
        <w:gridCol w:w="526"/>
        <w:gridCol w:w="154"/>
      </w:tblGrid>
      <w:tr>
        <w:trPr/>
        <w:tc>
          <w:tcPr>
            <w:tcW w:w="2447"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Higher investment gains</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investment advisory base fees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performance-based fees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Lower general and administrative expense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other revenue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employee compensation and benefits expense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net income of consolidated entities attributable to non-controlling interest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(2)</w:t>
      </w:r>
      <w:r>
        <w:rPr>
          <w:rFonts w:ascii="Times New Roman;serif" w:hAnsi="Times New Roman;serif"/>
          <w:b w:val="false"/>
          <w:color w:val="000000"/>
          <w:sz w:val="18"/>
        </w:rPr>
        <w:t>During the first quarter of 2026, we recognized a gain of $48.4 million related to the exercise of the AB option</w:t>
      </w:r>
      <w:r>
        <w:rPr>
          <w:color w:val="000000"/>
        </w:rPr>
        <w:t xml:space="preserve"> </w:t>
      </w:r>
      <w:r>
        <w:rPr>
          <w:rFonts w:ascii="Times New Roman;serif" w:hAnsi="Times New Roman;serif"/>
          <w:b w:val="false"/>
          <w:i/>
          <w:color w:val="000000"/>
          <w:sz w:val="18"/>
        </w:rPr>
        <w:t>as discussed above under Joint Venture with Societe Generale in this Item 2</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Units Outstanding; Unit Repurchases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Each quarter, we consider whether to implement a plan to repurchase AB Holding Units pursuant to Rules 10b5-1 and 10b-18 under the Securities Exchange Act of 1934, as amended (“</w:t>
      </w:r>
      <w:r>
        <w:rPr>
          <w:rFonts w:ascii="Times New Roman;serif" w:hAnsi="Times New Roman;serif"/>
          <w:b/>
          <w:color w:val="000000"/>
          <w:sz w:val="20"/>
        </w:rPr>
        <w:t>Exchange Act</w:t>
      </w:r>
      <w:r>
        <w:rPr>
          <w:color w:val="000000"/>
        </w:rPr>
        <w:t>”</w:t>
      </w:r>
      <w:r>
        <w:rPr>
          <w:rFonts w:ascii="Times New Roman;serif" w:hAnsi="Times New Roman;serif"/>
          <w:b w:val="false"/>
          <w:color w:val="000000"/>
          <w:sz w:val="20"/>
        </w:rPr>
        <w:t>). A plan of this type allows a company to repurchase its shares at times when it otherwise might be prevented from doing so because of self-imposed trading blackout periods or because it possesses material non-public information. Each broker we select has the authority to repurchase AB Holding Units on our behalf in accordance with the terms and limitations specified in the plan. Repurchases are subject to regulations promulgated by the SEC, as well as certain price, market volume and timing constraints specified in the plan. The plan adopted during the first quarter of 2026 expired at the close of business on April 27, 2026. We may adopt additional plans in the future to engage in open-market purchases of AB Holding Units for anticipated obligations under our incentive compensation award program and for other corporate purposes.</w:t>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Distributions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We are required to distribute all of our Available Cash Flow, as defined in the AB Partnership Agreement, to our Unitholders and the General Partner. Available Cash Flow typically is the adjusted net income per Unit for the quarter multiplied by the number of general and limited partnership interests at the end of the quarter. Management anticipates that Available Cash Flow will continue to be based on adjusted net income per Unit. If management determines, with the concurrence of the Board of Directors, that certain adjustments to Available Cash Flow are necessary or unnecessary, such adjustments will be made in future periods. </w:t>
      </w:r>
      <w:r>
        <w:rPr>
          <w:rFonts w:ascii="Times New Roman;serif" w:hAnsi="Times New Roman;serif"/>
          <w:b w:val="false"/>
          <w:i/>
          <w:color w:val="000000"/>
          <w:sz w:val="20"/>
        </w:rPr>
        <w:t>See Note 6 to our condensed consolidated financial statements contained in Item 1</w:t>
      </w:r>
      <w:r>
        <w:rPr>
          <w:color w:val="000000"/>
        </w:rPr>
        <w:t xml:space="preserve"> </w:t>
      </w:r>
      <w:r>
        <w:rPr>
          <w:rFonts w:ascii="Times New Roman;serif" w:hAnsi="Times New Roman;serif"/>
          <w:b w:val="false"/>
          <w:color w:val="000000"/>
          <w:sz w:val="20"/>
        </w:rPr>
        <w:t>for a description of Available Cash Flow.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Management Operating Metrics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providing the non-GAAP measures “adjusted net revenues,” “adjusted operating income” and “adjusted operating margin” because they are additional operating metrics management uses in evaluating and comparing period-to-period operating performance. Management uses these additional metrics in evaluating performance because they present a clearer picture of our operating performance and allow management to see long-term trends without the distortion primarily caused by long-term incentive compensation-related mark-to-market adjustments, acquisition-related expenses, interest expense and other adjustment items. Similarly, we believe that these management operating metrics help investors better understand the underlying trends in our results and, accordingly, provide a valuable perspective for investors.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provide the non-GAAP measures "adjusted net income" and "adjusted net income per unit" because our quarterly distribution per unit is typically our adjusted net income per unit (which is derived from adjusted net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non-GAAP measures are provided in addition to, and not as substitutes for, net revenues, operating income and operating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margin, and they may not be comparable to non-GAAP measures presented by other companies. Management uses both accounting principles generally accepted in the United States of America ("US GAAP") and non-GAAP measures in evaluating our financial performance. The non-GAAP measures alone may pose limitations because they do not include all of our revenues and expenses.</w:t>
      </w:r>
    </w:p>
    <w:p>
      <w:pPr>
        <w:pStyle w:val="TextBody"/>
        <w:bidi w:val="0"/>
        <w:spacing w:before="0" w:after="0"/>
        <w:jc w:val="both"/>
        <w:rPr/>
      </w:pPr>
      <w:r>
        <w:rPr/>
      </w:r>
    </w:p>
    <w:tbl>
      <w:tblPr>
        <w:tblW w:w="10114" w:type="dxa"/>
        <w:jc w:val="left"/>
        <w:tblInd w:w="0" w:type="dxa"/>
        <w:tblLayout w:type="fixed"/>
        <w:tblCellMar>
          <w:top w:w="28" w:type="dxa"/>
          <w:left w:w="28" w:type="dxa"/>
          <w:bottom w:w="28" w:type="dxa"/>
          <w:right w:w="28" w:type="dxa"/>
        </w:tblCellMar>
      </w:tblPr>
      <w:tblGrid>
        <w:gridCol w:w="1848"/>
        <w:gridCol w:w="1620"/>
        <w:gridCol w:w="1631"/>
        <w:gridCol w:w="109"/>
        <w:gridCol w:w="109"/>
        <w:gridCol w:w="109"/>
        <w:gridCol w:w="109"/>
        <w:gridCol w:w="109"/>
        <w:gridCol w:w="198"/>
        <w:gridCol w:w="198"/>
        <w:gridCol w:w="385"/>
        <w:gridCol w:w="1808"/>
        <w:gridCol w:w="198"/>
        <w:gridCol w:w="109"/>
        <w:gridCol w:w="109"/>
        <w:gridCol w:w="109"/>
        <w:gridCol w:w="211"/>
        <w:gridCol w:w="991"/>
        <w:gridCol w:w="154"/>
      </w:tblGrid>
      <w:tr>
        <w:trPr/>
        <w:tc>
          <w:tcPr>
            <w:tcW w:w="1848"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683" w:type="dxa"/>
            <w:gridSpan w:val="6"/>
            <w:tcBorders/>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3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unit amounts)</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 US 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1,201,726</w:t>
            </w: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1,080,607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Distribution-related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(202,818)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advisory services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(15,274)</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Pass-through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advisory services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(14,816)</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consolidated company-sponsored investment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investment advisory and services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(42,990)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compensation-related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(gain) loss on JV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other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871,135</w:t>
            </w: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838,214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3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088"/>
        <w:gridCol w:w="1700"/>
        <w:gridCol w:w="1673"/>
        <w:gridCol w:w="109"/>
        <w:gridCol w:w="109"/>
        <w:gridCol w:w="109"/>
        <w:gridCol w:w="109"/>
        <w:gridCol w:w="109"/>
        <w:gridCol w:w="171"/>
        <w:gridCol w:w="171"/>
        <w:gridCol w:w="331"/>
        <w:gridCol w:w="1324"/>
        <w:gridCol w:w="473"/>
        <w:gridCol w:w="109"/>
        <w:gridCol w:w="109"/>
        <w:gridCol w:w="109"/>
        <w:gridCol w:w="211"/>
        <w:gridCol w:w="841"/>
        <w:gridCol w:w="350"/>
      </w:tblGrid>
      <w:tr>
        <w:trPr/>
        <w:tc>
          <w:tcPr>
            <w:tcW w:w="2088"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729" w:type="dxa"/>
            <w:gridSpan w:val="6"/>
            <w:tcBorders/>
          </w:tcPr>
          <w:p>
            <w:pPr>
              <w:pStyle w:val="TableContents"/>
              <w:bidi w:val="0"/>
              <w:spacing w:before="0" w:after="283"/>
              <w:jc w:val="left"/>
              <w:rPr>
                <w:sz w:val="4"/>
                <w:szCs w:val="4"/>
              </w:rPr>
            </w:pPr>
            <w:r>
              <w:rPr>
                <w:sz w:val="4"/>
                <w:szCs w:val="4"/>
              </w:rPr>
            </w:r>
          </w:p>
        </w:tc>
      </w:tr>
      <w:tr>
        <w:trPr/>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US 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326,800</w:t>
            </w: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236,369</w:t>
            </w: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compensation-related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EQH award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plan settlement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12,765 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(gain) loss on JVs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(48,396)</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other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of non-GAAP adjustments before interest on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(29,676)</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40,136 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of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(22,469)</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47,274 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of consolidated entities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13,151 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291,180</w:t>
            </w:r>
            <w:r>
              <w:rPr>
                <w:color w:val="000000"/>
              </w:rPr>
              <w:t> </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282,748</w:t>
            </w:r>
            <w:r>
              <w:rPr>
                <w:color w:val="000000"/>
              </w:rPr>
              <w:t>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pre-tax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283,973</w:t>
            </w:r>
            <w:r>
              <w:rPr>
                <w:color w:val="000000"/>
              </w:rPr>
              <w:t> </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275,610</w:t>
            </w:r>
            <w:r>
              <w:rPr>
                <w:color w:val="000000"/>
              </w:rPr>
              <w:t>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Adjusted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15,784 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17,115 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Adjusted 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268,189</w:t>
            </w:r>
            <w:r>
              <w:rPr>
                <w:color w:val="000000"/>
              </w:rPr>
              <w:t> </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258,495</w:t>
            </w:r>
            <w:r>
              <w:rPr>
                <w:color w:val="000000"/>
              </w:rPr>
              <w:t>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AB Unit, 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0.75</w:t>
            </w: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per AB Unit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0.90</w:t>
            </w:r>
            <w:r>
              <w:rPr>
                <w:color w:val="000000"/>
              </w:rPr>
              <w:t> </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0.88</w:t>
            </w:r>
            <w:r>
              <w:rPr>
                <w:color w:val="000000"/>
              </w:rPr>
              <w:t>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margin, 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w:t>
            </w: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w:t>
            </w: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5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w:t>
            </w:r>
            <w:r>
              <w:rPr>
                <w:color w:val="000000"/>
              </w:rPr>
              <w:t> </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w:t>
            </w:r>
            <w:r>
              <w:rPr>
                <w:color w:val="000000"/>
              </w:rPr>
              <w:t> </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operating income for the three months ended March 31, 2026 increased $8.4 million, or 3.0%, from the three months ended March 31, 2025, primarily due to higher investment advisory base fees of $37.5 million and lower investment losses of $6.8 million, partially offset by higher employee compensation and benefits expense of $17.9 million, lower performance-based fees of $16.2 million and higher general and administrative expense of $5.1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Adjusted Net Revenues</w:t>
      </w:r>
    </w:p>
    <w:p>
      <w:pPr>
        <w:pStyle w:val="TextBody"/>
        <w:bidi w:val="0"/>
        <w:spacing w:lineRule="auto" w:line="288" w:before="120" w:after="160"/>
        <w:jc w:val="both"/>
        <w:rPr>
          <w:rFonts w:ascii="Times New Roman;serif" w:hAnsi="Times New Roman;serif"/>
          <w:b w:val="false"/>
          <w:color w:val="000000"/>
          <w:sz w:val="20"/>
        </w:rPr>
      </w:pPr>
      <w:r>
        <w:rPr>
          <w:rFonts w:ascii="Times New Roman;serif" w:hAnsi="Times New Roman;serif"/>
          <w:b w:val="false"/>
          <w:color w:val="000000"/>
          <w:sz w:val="20"/>
        </w:rPr>
        <w:t>Net Revenue, as adjusted, excludes all of the company's distribution revenues, which are recorded as a separate line item on the consolidated statement of income, as well as a portion of investment advisory services fees received that is used to pay distribution and servicing costs. For certain products, based on the distinct arrangements, certain distribution fees are collected by us and passed through to third-party client intermediaries, while for certain other products, we collect investment advisory services fees and a portion is passed through to third-party client intermediaries. In both arrangements, the third-party client intermediary owns the relationship with the client and is responsible for performing services and distributing the product to the client on our behalf. We believe offsetting distribution revenues and certain investment advisory services fees is useful for our investors and other users of our financial statements because such presentation appropriately reflects the nature of these costs as pass-through payments to third parties that perform functions on behalf of our sponsored mutual funds and/or shareholders of these funds. Distribution-related adjustments fluctuate each period based on the type of investment products sold, as well as the average AUM over the period. Also, we adjust distribution revenues for the amortization of deferred sales commissions as these costs, over time, will offset such revenues.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adjust investment advisory and services fees and other revenues for pass through costs, primarily related to our transfer agent and shareholder servicing fees. Also, we adjust for certain investment advisory and services fees passed through to our investment advisors. These fees do not affect operating income, as such, we exclude these fees from adjusted net revenues. We also adjust for certain pass through costs associated with the transition of services to the JV entered into with SocGen. These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amounts are expensed by us and passed to the JV for reimbursement. These fees do not affect operating income, as such, we exclude these fees from adjusted net revenues.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adjust for the revenue impact of consolidating company-sponsored investment funds by eliminating the consolidated company-sponsored investment funds' revenues and including AB's fees from such consolidated company-sponsored investment funds and AB's investment gains and losses on its investments in such consolidated company-sponsored investment funds that were eliminated in consolidation.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adjust investment advisory and services fees for pass through performance fees, primarily related to acquisition-related funds in which we do not participate in the performance.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Adjusted net revenues exclude investment gains and losses and dividends and interest on employee long-term incentive compensation-related investments. Also, we adjust for certain acquisition-related pass-through performance-based fees and performance related compensation.</w:t>
      </w:r>
    </w:p>
    <w:p>
      <w:pPr>
        <w:pStyle w:val="TextBody"/>
        <w:bidi w:val="0"/>
        <w:spacing w:lineRule="auto" w:line="283" w:before="120" w:after="283"/>
        <w:jc w:val="both"/>
        <w:rPr/>
      </w:pPr>
      <w:r>
        <w:rPr>
          <w:rFonts w:ascii="Times New Roman;serif" w:hAnsi="Times New Roman;serif"/>
          <w:b w:val="false"/>
          <w:color w:val="000000"/>
          <w:sz w:val="20"/>
        </w:rPr>
        <w:t>We also adjust net revenues to exclude our portion of the equity income or loss associated with our equity method investments, including our investment in the JV and reinsurance sidecars, as we don't consider this activity part of our core business operations and these investments generate non-cash volatility which distort core earnings performance. Effective April 1, 2024 following the close of the transaction with SocGen, we record all income or loss associated with the JV as an equity method investment income (loss). As we no longer consider this activity part of our core business operations and our intent is to fully divest from the joint venture, we consider these amounts temporary, and as such, we exclude these amounts from our adjusted net revenues. On January 1, 2026, AB entered into an Amended and Restated Shareholder agreement with SocGen (the "Amendment Agreement") and exercised the AB option (</w:t>
      </w:r>
      <w:r>
        <w:rPr>
          <w:rFonts w:ascii="Times New Roman;serif" w:hAnsi="Times New Roman;serif"/>
          <w:b w:val="false"/>
          <w:i/>
          <w:color w:val="000000"/>
          <w:sz w:val="20"/>
        </w:rPr>
        <w:t>as discussed above</w:t>
      </w:r>
      <w:r>
        <w:rPr>
          <w:rFonts w:ascii="Times New Roman;serif" w:hAnsi="Times New Roman;serif"/>
          <w:b w:val="false"/>
          <w:color w:val="000000"/>
          <w:sz w:val="20"/>
        </w:rPr>
        <w:t xml:space="preserve">) to deliver a 17.7% interest in the NA JV to SocGen resulting in AB owning a 49% interest in the NA JV and SocGen having a majority interest of 51% in the NA JV. The prepaid consideration received was in excess of the carrying value of the 17.7% equity in the NA JV resulting in a gain of $48.4 million recognized in the first quarter of 2026. </w:t>
      </w:r>
    </w:p>
    <w:p>
      <w:pPr>
        <w:pStyle w:val="TextBody"/>
        <w:bidi w:val="0"/>
        <w:spacing w:before="120" w:after="283"/>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Adjusted Operating Income</w:t>
      </w:r>
    </w:p>
    <w:p>
      <w:pPr>
        <w:pStyle w:val="TextBody"/>
        <w:bidi w:val="0"/>
        <w:spacing w:lineRule="auto" w:line="283" w:before="120" w:after="283"/>
        <w:jc w:val="both"/>
        <w:rPr>
          <w:rFonts w:ascii="Times New Roman;serif" w:hAnsi="Times New Roman;serif"/>
          <w:b w:val="false"/>
          <w:color w:val="000000"/>
          <w:sz w:val="20"/>
        </w:rPr>
      </w:pPr>
      <w:r>
        <w:rPr>
          <w:rFonts w:ascii="Times New Roman;serif" w:hAnsi="Times New Roman;serif"/>
          <w:b w:val="false"/>
          <w:color w:val="000000"/>
          <w:sz w:val="20"/>
        </w:rPr>
        <w:t>Adjusted operating income represents operating income on a US GAAP basis excluding (1) the impact on net revenues and compensation expense of the investment gains and losses (as well as the dividends and interest) associated with employee long-term incentive compensation-related investments, (2) the equity compensation paid by EQH to certain AB executives, (3) retirement plan settlement loss, (4) acquisition-related expenses (income), (5) income (loss) related to our equity method investments, (6) interest on borrowings and (7) the impact of consolidated company-sponsored investment funds.</w:t>
      </w:r>
    </w:p>
    <w:p>
      <w:pPr>
        <w:pStyle w:val="TextBody"/>
        <w:bidi w:val="0"/>
        <w:spacing w:lineRule="auto" w:line="283" w:before="120" w:after="283"/>
        <w:jc w:val="both"/>
        <w:rPr>
          <w:rFonts w:ascii="Times New Roman;serif" w:hAnsi="Times New Roman;serif"/>
          <w:b w:val="false"/>
          <w:color w:val="000000"/>
          <w:sz w:val="20"/>
        </w:rPr>
      </w:pPr>
      <w:r>
        <w:rPr>
          <w:rFonts w:ascii="Times New Roman;serif" w:hAnsi="Times New Roman;serif"/>
          <w:b w:val="false"/>
          <w:color w:val="000000"/>
          <w:sz w:val="20"/>
        </w:rPr>
        <w:t>Prior to 2009, a significant portion of employee compensation was in the form of long-term incentive compensation awards that were notionally invested in AB investment services and generally vested over a period of four years. AB economically hedged the exposure to market movements by purchasing and holding these investments on its balance sheet. All such investments had vested as of year-end 2012 and the investments have been delivered to the participants, except for those investments with respect to which the participant elected a long-term deferral. Fluctuation in the value of these investments, which also impacts compensation expense, is recorded within investment gains and losses on the income statement. Management believes it is useful to reflect the offset achieved from economically hedging the market exposure of these investments in the calculation of adjusted operating income and adjusted operating margin. The non-GAAP measures exclude gains and losses and dividends and interest on employee long-term incentive compensation-related investments included in revenues and compensation expense.</w:t>
      </w:r>
    </w:p>
    <w:p>
      <w:pPr>
        <w:pStyle w:val="TextBody"/>
        <w:bidi w:val="0"/>
        <w:spacing w:lineRule="auto" w:line="283" w:before="120" w:after="283"/>
        <w:jc w:val="both"/>
        <w:rPr/>
      </w:pPr>
      <w:r>
        <w:rPr>
          <w:rFonts w:ascii="Times New Roman;serif" w:hAnsi="Times New Roman;serif"/>
          <w:b w:val="false"/>
          <w:color w:val="000000"/>
          <w:sz w:val="20"/>
        </w:rPr>
        <w:t>The board of directors of EQH granted to Seth Bernstein, our CEO, equity awards in connection with EQH's IPO. Additionally, equity awards were granted to Mr. Bernstein and other AB executives</w:t>
      </w:r>
      <w:r>
        <w:rPr>
          <w:color w:val="000000"/>
        </w:rPr>
        <w:t xml:space="preserve"> </w:t>
      </w:r>
      <w:r>
        <w:rPr>
          <w:rFonts w:ascii="Times New Roman;serif" w:hAnsi="Times New Roman;serif"/>
          <w:b w:val="false"/>
          <w:color w:val="000000"/>
          <w:sz w:val="20"/>
        </w:rPr>
        <w:t>for their membership on the EQH Management Committee. These individuals may receive additional equity or cash compensation from EQH in the future related to their service on the Management Committee. Any awards granted to these individuals by EQH are recorded as compensation expense in AB’s consolidated statement of income. The compensation expense associated with these awards has been excluded from our non-GAAP measures because they are non-cash and are based upon EQH's, and not AB's, financial performance.</w:t>
      </w:r>
    </w:p>
    <w:p>
      <w:pPr>
        <w:pStyle w:val="TextBody"/>
        <w:bidi w:val="0"/>
        <w:spacing w:lineRule="auto" w:line="283" w:before="120" w:after="283"/>
        <w:jc w:val="both"/>
        <w:rPr>
          <w:rFonts w:ascii="Times New Roman;serif" w:hAnsi="Times New Roman;serif"/>
          <w:b w:val="false"/>
          <w:color w:val="000000"/>
          <w:sz w:val="20"/>
        </w:rPr>
      </w:pPr>
      <w:r>
        <w:rPr>
          <w:rFonts w:ascii="Times New Roman;serif" w:hAnsi="Times New Roman;serif"/>
          <w:b w:val="false"/>
          <w:color w:val="000000"/>
          <w:sz w:val="20"/>
        </w:rPr>
        <w:t>The (gains) losses associated with the termination of our defined benefit retirement plan are non-cash, short term in nature and not considered a part of our core operating results when comparing financial results from period to period.</w:t>
      </w:r>
    </w:p>
    <w:p>
      <w:pPr>
        <w:pStyle w:val="TextBody"/>
        <w:bidi w:val="0"/>
        <w:spacing w:lineRule="auto" w:line="283" w:before="120" w:after="283"/>
        <w:jc w:val="both"/>
        <w:rPr>
          <w:rFonts w:ascii="Times New Roman;serif" w:hAnsi="Times New Roman;serif"/>
          <w:b w:val="false"/>
          <w:color w:val="000000"/>
          <w:sz w:val="20"/>
        </w:rPr>
      </w:pPr>
      <w:r>
        <w:rPr>
          <w:rFonts w:ascii="Times New Roman;serif" w:hAnsi="Times New Roman;serif"/>
          <w:b w:val="false"/>
          <w:color w:val="000000"/>
          <w:sz w:val="20"/>
        </w:rPr>
        <w:t>Acquisition-related expenses have been excluded because they are not considered part of our core operating results when comparing financial results from period to period and to industry peers. Acquisition-related expenses include professional fees, the recording of changes in estimates or fair value remeasurements to, and accretion expense related to, our contingent payment arrangements associated with our acquisitions, certain compensation-related expenses and amortization of intangible assets for contracts acquired.</w:t>
      </w:r>
    </w:p>
    <w:p>
      <w:pPr>
        <w:pStyle w:val="TextBody"/>
        <w:bidi w:val="0"/>
        <w:spacing w:lineRule="auto" w:line="283"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also adjust operating income to exclude our portion of the equity income or loss associated with our equity method investments, including our investment in the JV and reinsurance sidecar, as we don't consider this activity part of our core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3" w:before="120" w:after="283"/>
        <w:jc w:val="both"/>
        <w:rPr/>
      </w:pPr>
      <w:r>
        <w:rPr>
          <w:rFonts w:ascii="Times New Roman;serif" w:hAnsi="Times New Roman;serif"/>
          <w:b w:val="false"/>
          <w:color w:val="000000"/>
          <w:sz w:val="20"/>
        </w:rPr>
        <w:t>business operations and these investments generate non-cash volatility which distort core earnings performance. Effective April 1, 2024, following the close of the transaction with SocGen, we record all income or loss associated with the JV as an equity method investment (income) loss. As we no longer consider this activity part of our core business operations and our intent is to fully divest from the joint venture, we consider these amounts temporary, and as such, we exclude these amounts from our adjusted operating income. On January 1, 2026, AB entered into the Amendment Agreement with SocGen and exercised the AB option (</w:t>
      </w:r>
      <w:r>
        <w:rPr>
          <w:rFonts w:ascii="Times New Roman;serif" w:hAnsi="Times New Roman;serif"/>
          <w:b w:val="false"/>
          <w:i/>
          <w:color w:val="000000"/>
          <w:sz w:val="20"/>
        </w:rPr>
        <w:t>as discussed above</w:t>
      </w:r>
      <w:r>
        <w:rPr>
          <w:rFonts w:ascii="Times New Roman;serif" w:hAnsi="Times New Roman;serif"/>
          <w:b w:val="false"/>
          <w:color w:val="000000"/>
          <w:sz w:val="20"/>
        </w:rPr>
        <w:t xml:space="preserve">) to deliver a 17.7% interest in the NA JV to SocGen resulting in AB owning a 49% interest in the NA JV and SocGen having a majority interest of 51% in the NA JV. The prepaid consideration received was in excess of the carrying value of the 17.7% equity in the NA JV resulting in a gain of $48.4 million recognized in the first quarter of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adjust operating income to exclude interest on borrowings in order to align with our industry peer group.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adjust for the operating income impact of consolidating certain company-sponsored investment funds by eliminating the consolidated company-sponsored funds' revenues and expenses and including AB's revenues and expenses that were eliminated in consolidation. We also exclude the limited partner interests we do not own.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Adjusted Net Income per AB Unit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As previously discussed</w:t>
      </w:r>
      <w:r>
        <w:rPr>
          <w:rFonts w:ascii="Times New Roman;serif" w:hAnsi="Times New Roman;serif"/>
          <w:b w:val="false"/>
          <w:color w:val="000000"/>
          <w:sz w:val="20"/>
        </w:rPr>
        <w:t>, our quarterly distribution is typically our adjusted net income per Unit (which is derived from adjusted net income) for the quarter multiplied by the number of general and limited partnership interests outstanding at the end of the quarter. Adjusted net income is derived from adjusted operating income less interest expense and adjusted income taxes. Adjusted income taxes, used in calculating adjusted net income, are calculated using the GAAP effective tax rate adjusted for non-GAAP income tax adjustments.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Adjusted Operating Margin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Adjusted operating margin allows us to monitor our financial performance and efficiency from period to period without the volatility </w:t>
      </w:r>
      <w:r>
        <w:rPr>
          <w:rFonts w:ascii="Times New Roman;serif" w:hAnsi="Times New Roman;serif"/>
          <w:b w:val="false"/>
          <w:i/>
          <w:color w:val="000000"/>
          <w:sz w:val="20"/>
        </w:rPr>
        <w:t>noted above in our discussion of adjusted operating income</w:t>
      </w:r>
      <w:r>
        <w:rPr>
          <w:color w:val="000000"/>
        </w:rPr>
        <w:t xml:space="preserve"> </w:t>
      </w:r>
      <w:r>
        <w:rPr>
          <w:rFonts w:ascii="Times New Roman;serif" w:hAnsi="Times New Roman;serif"/>
          <w:b w:val="false"/>
          <w:color w:val="000000"/>
          <w:sz w:val="20"/>
        </w:rPr>
        <w:t>and to compare our performance to industry peers on a basis that better reflects our performance in our core business. Adjusted operating margin is derived by dividing adjusted operating income by adjusted net revenues.</w:t>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Net Revenues</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components of net revenues are as follows:</w:t>
      </w:r>
    </w:p>
    <w:tbl>
      <w:tblPr>
        <w:tblW w:w="10205" w:type="dxa"/>
        <w:jc w:val="left"/>
        <w:tblInd w:w="0" w:type="dxa"/>
        <w:tblLayout w:type="fixed"/>
        <w:tblCellMar>
          <w:top w:w="28" w:type="dxa"/>
          <w:left w:w="28" w:type="dxa"/>
          <w:bottom w:w="28" w:type="dxa"/>
          <w:right w:w="28" w:type="dxa"/>
        </w:tblCellMar>
      </w:tblPr>
      <w:tblGrid>
        <w:gridCol w:w="1128"/>
        <w:gridCol w:w="667"/>
        <w:gridCol w:w="670"/>
        <w:gridCol w:w="109"/>
        <w:gridCol w:w="109"/>
        <w:gridCol w:w="109"/>
        <w:gridCol w:w="109"/>
        <w:gridCol w:w="109"/>
        <w:gridCol w:w="109"/>
        <w:gridCol w:w="109"/>
        <w:gridCol w:w="109"/>
        <w:gridCol w:w="109"/>
        <w:gridCol w:w="145"/>
        <w:gridCol w:w="145"/>
        <w:gridCol w:w="283"/>
        <w:gridCol w:w="1330"/>
        <w:gridCol w:w="145"/>
        <w:gridCol w:w="109"/>
        <w:gridCol w:w="109"/>
        <w:gridCol w:w="109"/>
        <w:gridCol w:w="211"/>
        <w:gridCol w:w="991"/>
        <w:gridCol w:w="109"/>
        <w:gridCol w:w="109"/>
        <w:gridCol w:w="109"/>
        <w:gridCol w:w="109"/>
        <w:gridCol w:w="211"/>
        <w:gridCol w:w="841"/>
        <w:gridCol w:w="109"/>
        <w:gridCol w:w="109"/>
        <w:gridCol w:w="109"/>
        <w:gridCol w:w="109"/>
        <w:gridCol w:w="308"/>
        <w:gridCol w:w="308"/>
        <w:gridCol w:w="642"/>
      </w:tblGrid>
      <w:tr>
        <w:trPr/>
        <w:tc>
          <w:tcPr>
            <w:tcW w:w="11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6"/>
            <w:tcBorders/>
          </w:tcPr>
          <w:p>
            <w:pPr>
              <w:pStyle w:val="TableContents"/>
              <w:bidi w:val="0"/>
              <w:spacing w:before="0" w:after="283"/>
              <w:jc w:val="left"/>
              <w:rPr>
                <w:sz w:val="4"/>
                <w:szCs w:val="4"/>
              </w:rPr>
            </w:pPr>
            <w:r>
              <w:rPr>
                <w:sz w:val="4"/>
                <w:szCs w:val="4"/>
              </w:rPr>
            </w:r>
          </w:p>
        </w:tc>
      </w:tr>
      <w:tr>
        <w:trPr/>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12"/>
            <w:tcBorders/>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advisory and services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155,219 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213,751 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393,808 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394,592 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Wealth: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306,871 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849,182 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915,214 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202,818 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and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1,214,731 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broker-dealer related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1,201,726</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1,080,607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121,119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100" w:after="283"/>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Investment Advisory and Services Fees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 advisory and services fees are the largest component of our revenues. These fees generally are calculated as a percentage of the value of AUM as of a specified date, or as a percentage of the value of average AUM for the applicable billing period, and vary with the type of investment service, the size of account and the total amount of assets we manage for a particular client. Accordingly, fee income generally increases or decreases as AUM increase or decrease and is affected by market appreciation or depreciation, the addition of new client accounts or client contributions of additional assets to existing accounts, withdrawals of assets from and termination of client accounts, purchases and redemptions of mutual fund shares, shifts of assets between accounts or products with different fee structures, and acquisitions. Our average basis points realized (investment advisory and services fees divided by average AUM) generally approximate 30 to 105 basis points for actively managed equity services, 10 to 65 basis points for actively-managed fixed income services and 1 to 50 basis points for passively managed services. Average basis points realized for other services could range from 3 basis points for certain Institutional third party managed services to over 190 basis points for certain Private Wealth Management alternative services. These ranges include all-inclusive fee arrangements (covering investment management, trade execution and other services) for our Private Wealth Management clients.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We calculate AUM using established market-based valuation methods and fair valuation (non-observable market) methods. Market-based valuation methods include: last sale/settle prices from an exchange for actively-traded listed equities, options and futures; evaluated bid prices from recognized pricing vendors for fixed income, asset-backed or mortgage-backed issues; mid prices from recognized pricing vendors and brokers for credit default swaps; and quoted bids or spreads from pricing vendors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and brokers for other derivative products. Fair valuation methods include: discounted cash flow models or any other methodology that is validated and approved by our Valuation Committee and sub-committee (the "Valuation Committee") (see paragraph immediately below for more information regarding our Valuation Committee). Fair valuation methods are used only where AUM cannot be valued using market-based valuation methods, such as in the case of private equity or illiquid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Valuation Committee consisting of senior officers and employees, oversees a consistent framework of pricing and valuation of all investments held in client and AB portfolios. The Valuation Committee has adopted a Statement of Pricing Policies describing principles and policies that apply to pricing and valuing investments held in these portfolios. We also have a Pricing Group, which is overseen by the Valuation Committee and is responsible for managing the pricing process for all investments.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sometimes charge our clients performance-based fees. In these situations, we charge a base advisory fee and are eligible to earn an additional performance-based fee or incentive allocation that is calculated as either a percentage of absolute investment results or a percentage of investment results in excess of a stated benchmark over a specified period of time. Some performance-based fees include a high-watermark provision, which generally provides that if a client account underperforms relative to its performance target (whether absolute or relative to a specified benchmark), it must gain back such underperformance before we can collect future performance-based fees. Therefore, if we fail to achieve our performance target for a particular period, we will not earn a performance-based fee for that period and, for accounts with a high-watermark provision, our ability to earn future performance-based fees will be impaired. We are eligible to earn performance-based fees on 7.7%, 6.9% and 0.4% of the assets we manage for private wealth clients, institutional clients and retail clients, respectively (in total, 4.5% of our AUM).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our investment advisory and services fees increased by $60.1 million, or 7.0%, from the three months ended March 31, 2025, due to a $31.3 million, or 3.8%, increase in base fees and a $28.8 million, or 77.3%, increase in performance-based fees. The increase in base fees is primarily due to an 8.5% increase in average AUM. Performance-based fees increased primarily due to higher performance fees earned on our Credit Value, partially offset by lower performance fees earned on our Private Credit.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Institutional base fees for the three months ended March 31, 2026 increased by $3.9 million, or 2.6%, from the three months ended March 31, 2025, primarily due to a 9.4% increase in average AUM, partially offset by a decrease in portfolio fee rate. Retail base fees for the three months ended March 31, 2026 slightly increased by $1.9 million, or 0.5%, from the three months ended March 31, 2025, primarily due to a 5.0% increase in average AUM, partially offset by a decrease in portfolio fee rate. Private Wealth base fees for the three months ended March 31, 2026 increased $25.5 million, or 9.3%, from the three months ended March 31, 2025, primarily due to a 14.6% increase in average AUM, partially offset by a decrease in portfolio fee 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Distribution Revenues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Two of our subsidiaries act as distributors and/or placement agents of company-sponsored mutual funds and receive distribution services fees from certain of those funds as full or partial reimbursement of the distribution expenses they incur. Period-over-period fluctuations of distribution revenues typically are in line with fluctuations of the corresponding average AUM of these mutual funds.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Distribution revenues for the three months ended March 31, 2026 increased $3.8 million, or 1.9%, compared to the three months ended March 31, 2025, primarily due to the corresponding average AUM of these mutual funds increasing 4.6%, partially offset by a shift in product mix to mutual funds which have lower distribution rates.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Dividend and Interest Income and Broker-Dealer Related Interest Expense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Dividend and interest income consists primarily of investment income and interest earned on customer margin balances and U.S. Treasury Bills as well as dividend and interest income in our consolidated company-sponsored investment funds. Broker-dealer related interest expense principally reflects interest accrued on cash balances in customers’ brokerage accounts.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dividend and interest income decreased $3.9 million, or 11.3%, compared to the three months ended March 31, 2025, primarily due to lower interest earned on U.S. Treasury Bills and customer margin accounts, as a result of lower interest rates. </w:t>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Broker-dealer related interest expense for the three months ended March 31, 2026 decreased $4.5 million, or 25.8%, compared to the three months ended March 31, 2025, primarily due to lower interest paid on cash balances in customers' brokerage accounts, as a result of lower interest rates.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Investment Gains (Losses)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 gains (losses) consist primarily of realized and unrealized investment gains or losses on: (i) employee long-term incentive compensation-related investments, (ii) U.S. Treasury Bills, (iii) seed capital investments, (iv) derivatives and (v) investments in our consolidated company-sponsored investment funds. Investment gains (losses) also include equity in earnings of proprietary investments in limited partnership hedge funds that we sponsor and manage and equity gains (losses) related to our equity investments in the JV.</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gains (losses) are as follows:</w:t>
      </w:r>
    </w:p>
    <w:tbl>
      <w:tblPr>
        <w:tblW w:w="10205" w:type="dxa"/>
        <w:jc w:val="left"/>
        <w:tblInd w:w="0" w:type="dxa"/>
        <w:tblLayout w:type="fixed"/>
        <w:tblCellMar>
          <w:top w:w="28" w:type="dxa"/>
          <w:left w:w="28" w:type="dxa"/>
          <w:bottom w:w="28" w:type="dxa"/>
          <w:right w:w="28" w:type="dxa"/>
        </w:tblCellMar>
      </w:tblPr>
      <w:tblGrid>
        <w:gridCol w:w="2027"/>
        <w:gridCol w:w="1779"/>
        <w:gridCol w:w="1785"/>
        <w:gridCol w:w="109"/>
        <w:gridCol w:w="109"/>
        <w:gridCol w:w="109"/>
        <w:gridCol w:w="109"/>
        <w:gridCol w:w="109"/>
        <w:gridCol w:w="220"/>
        <w:gridCol w:w="220"/>
        <w:gridCol w:w="428"/>
        <w:gridCol w:w="1495"/>
        <w:gridCol w:w="220"/>
        <w:gridCol w:w="109"/>
        <w:gridCol w:w="109"/>
        <w:gridCol w:w="109"/>
        <w:gridCol w:w="211"/>
        <w:gridCol w:w="788"/>
        <w:gridCol w:w="160"/>
      </w:tblGrid>
      <w:tr>
        <w:trPr/>
        <w:tc>
          <w:tcPr>
            <w:tcW w:w="2027"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86" w:type="dxa"/>
            <w:gridSpan w:val="6"/>
            <w:tcBorders/>
          </w:tcPr>
          <w:p>
            <w:pPr>
              <w:pStyle w:val="TableContents"/>
              <w:bidi w:val="0"/>
              <w:spacing w:before="0" w:after="283"/>
              <w:jc w:val="left"/>
              <w:rPr>
                <w:sz w:val="4"/>
                <w:szCs w:val="4"/>
              </w:rPr>
            </w:pPr>
            <w:r>
              <w:rPr>
                <w:sz w:val="4"/>
                <w:szCs w:val="4"/>
              </w:rPr>
            </w:r>
          </w:p>
        </w:tc>
      </w:tr>
      <w:tr>
        <w:trPr/>
        <w:tc>
          <w:tcPr>
            <w:tcW w:w="55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5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incentive compensation-related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Realized gains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Investments held by consolidated company-sponsored investment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Realized (losses)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Seed capital and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Seed capital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Seed capital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Brokerage-related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(loss) on JV</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other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31,059</w:t>
            </w:r>
            <w:r>
              <w:rPr>
                <w:color w:val="000000"/>
              </w:rPr>
              <w:t>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(20,538)</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18"/>
        </w:rPr>
        <w:t>During the first quarter of 2026, we recognized a gain of $48.4 million related to the exercise of the AB option a</w:t>
      </w:r>
      <w:r>
        <w:rPr>
          <w:rFonts w:ascii="Times New Roman;serif" w:hAnsi="Times New Roman;serif"/>
          <w:b w:val="false"/>
          <w:i/>
          <w:color w:val="000000"/>
          <w:sz w:val="18"/>
        </w:rPr>
        <w:t>s discussed above under Joint Venture with Societe Generale in this Item 2.</w:t>
      </w:r>
      <w:r>
        <w:rPr>
          <w:color w:val="000000"/>
        </w:rPr>
        <w:t xml:space="preserve"> </w:t>
      </w:r>
      <w:r>
        <w:rPr>
          <w:rFonts w:ascii="Times New Roman;serif" w:hAnsi="Times New Roman;serif"/>
          <w:b w:val="false"/>
          <w:color w:val="000000"/>
          <w:sz w:val="18"/>
        </w:rPr>
        <w:t xml:space="preserve">This gain was offset by a quarterly loss of $1.9 million related to our JV.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Revenues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Other revenues consist of fees earned for transfer agency services provided to company-sponsored mutual funds, fees earned for administration and recordkeeping services provided to company-sponsored mutual funds and the General Accounts of EQH and its subsidiaries, and other miscellaneous revenues. Other revenues for the three months ended March 31, 2026 increased $5.0 million, or 16.5%, compared to the three months ended March 31, 2025, primarily due to higher shareholder servicing fees, partially offset by lower JV related revenue reimbursements. </w:t>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Expenses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expenses are as follows:</w:t>
      </w:r>
    </w:p>
    <w:tbl>
      <w:tblPr>
        <w:tblW w:w="10205" w:type="dxa"/>
        <w:jc w:val="left"/>
        <w:tblInd w:w="0" w:type="dxa"/>
        <w:tblLayout w:type="fixed"/>
        <w:tblCellMar>
          <w:top w:w="28" w:type="dxa"/>
          <w:left w:w="28" w:type="dxa"/>
          <w:bottom w:w="28" w:type="dxa"/>
          <w:right w:w="28" w:type="dxa"/>
        </w:tblCellMar>
      </w:tblPr>
      <w:tblGrid>
        <w:gridCol w:w="1129"/>
        <w:gridCol w:w="794"/>
        <w:gridCol w:w="798"/>
        <w:gridCol w:w="109"/>
        <w:gridCol w:w="109"/>
        <w:gridCol w:w="109"/>
        <w:gridCol w:w="109"/>
        <w:gridCol w:w="109"/>
        <w:gridCol w:w="109"/>
        <w:gridCol w:w="109"/>
        <w:gridCol w:w="109"/>
        <w:gridCol w:w="109"/>
        <w:gridCol w:w="166"/>
        <w:gridCol w:w="166"/>
        <w:gridCol w:w="323"/>
        <w:gridCol w:w="1288"/>
        <w:gridCol w:w="166"/>
        <w:gridCol w:w="109"/>
        <w:gridCol w:w="109"/>
        <w:gridCol w:w="109"/>
        <w:gridCol w:w="211"/>
        <w:gridCol w:w="841"/>
        <w:gridCol w:w="109"/>
        <w:gridCol w:w="109"/>
        <w:gridCol w:w="109"/>
        <w:gridCol w:w="109"/>
        <w:gridCol w:w="211"/>
        <w:gridCol w:w="736"/>
        <w:gridCol w:w="109"/>
        <w:gridCol w:w="109"/>
        <w:gridCol w:w="109"/>
        <w:gridCol w:w="109"/>
        <w:gridCol w:w="277"/>
        <w:gridCol w:w="279"/>
        <w:gridCol w:w="640"/>
      </w:tblGrid>
      <w:tr>
        <w:trPr/>
        <w:tc>
          <w:tcPr>
            <w:tcW w:w="112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7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6"/>
            <w:tcBorders/>
          </w:tcPr>
          <w:p>
            <w:pPr>
              <w:pStyle w:val="TableContents"/>
              <w:bidi w:val="0"/>
              <w:spacing w:before="0" w:after="283"/>
              <w:jc w:val="left"/>
              <w:rPr>
                <w:sz w:val="4"/>
                <w:szCs w:val="4"/>
              </w:rPr>
            </w:pPr>
            <w:r>
              <w:rPr>
                <w:sz w:val="4"/>
                <w:szCs w:val="4"/>
              </w:rPr>
            </w:r>
          </w:p>
        </w:tc>
      </w:tr>
      <w:tr>
        <w:trPr/>
        <w:tc>
          <w:tcPr>
            <w:tcW w:w="27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7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12"/>
            <w:tcBorders/>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467,557 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Promotion and servicing: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Distribution-related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sales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execution, marketing, T&amp;E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258,608 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130,391 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874,926</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844,238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30,688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Employee Compensation and Benefits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Employee compensation and benefits expense consists of base compensation (including salaries and severance), annual short-term incentive compensation awards (cash bonuses), annual long-term incentive compensation awards, commissions, fringe benefits and other employment costs (including recruitment, training, temporary help and meals).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Compensation expense as a percentage of net revenues was 38.9% for the three months ended March 31, 2026 and 2025, respectively. Compensation expense generally is determined on a discretionary basis and is primarily a function of our firm’s current-year financial performance. The amounts of incentive compensation we award are designed to motivate, reward and retain top talent while aligning our executives' interests with the interests of our Unitholders. Senior management, with the Compensation and Workplace Practices Committee of the Board of Directors of AllianceBernstein Corporation (“Compensation Committee”), continue to believe that the appropriate metric to consider in determining the amount of incentive compensation is the ratio of adjusted employee compensation and benefits expense to adjusted net revenues. Adjusted net revenues used in the adjusted compensation ratio are the same as the adjusted net revenues presented as a non-GAAP measure (</w:t>
      </w:r>
      <w:r>
        <w:rPr>
          <w:rFonts w:ascii="Times New Roman;serif" w:hAnsi="Times New Roman;serif"/>
          <w:b w:val="false"/>
          <w:i/>
          <w:color w:val="000000"/>
          <w:sz w:val="20"/>
        </w:rPr>
        <w:t>discussed earlier in this Item 2</w:t>
      </w:r>
      <w:r>
        <w:rPr>
          <w:rFonts w:ascii="Times New Roman;serif" w:hAnsi="Times New Roman;serif"/>
          <w:b w:val="false"/>
          <w:color w:val="000000"/>
          <w:sz w:val="20"/>
        </w:rPr>
        <w:t xml:space="preserve">). Adjusted employee compensation and benefits expense is total employee compensation and benefits expense minus other employment costs such as recruitment, training, temporary help and meals (which was 1.1% and 0.9% of adjusted net revenues for the three months ended March 31, 2026 and March 31, 2025, respectively), and excludes the impact of mark-to-market vesting expense, as well as dividends and interest expense, associated with employee incentive compensation-related investments and the amortization expense associated with the awards issued by EQH to some of our firm's executive officers relating to their roles as members of the EQH Management Committee. Senior management, with the approval of the Compensation Committee, has established as an objective that adjusted employee compensation and benefits expense, excluding the impact of performance-based fees, generally should not exceed 50.0% of our adjusted net revenues in any year, except in unexpected or unusual circumstances. Our ratio of adjusted compensation expense as a percentage of adjusted net revenues was 48.5% for the three months ended March 31, 2026 and March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employee compensation and benefits expense increased $47.0 million, or 11.2%, compared to the three months ended March 31, 2025, due to higher incentive compensation of $20.3 million, higher commissions of $12.8 million, higher fringe benefits of $6.7 million, higher base compensation of $5.3 million and higher other employment costs of $1.9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Promotion and Servicing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Promotion and servicing expenses include distribution-related payments to financial intermediaries for distribution of AB mutual funds and amortization of deferred sales commissions paid to financial intermediaries for the sale of back-end load shares of AB mutual funds. Also included in this expense category are costs related to trade execution and clearance, travel and entertainment, advertising and promotional materials.</w:t>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Promotion and servicing expenses increased $1.3 million, or 0.5%, during the three months ended March 31, 2026 compared to the three months ended March 31, 2025. The increase was primarily due to higher marketing and communication expense of $3.1 million and higher travel and entertainment expenses of $2.5 million, partially offset by lower distribution-related payments of $4.1 million.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General and Administrative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portfolio services expenses, technology expenses, professional fees and office-related expenses (occupancy, communications and similar expenses). General and administrative expenses as a percentage of net revenues were 10.9% and 13.7% for the three months ended March 31, 2026 and 2025, respectively. General and administrative expenses decreased $17.5 million, or 11.9%, during the three months ended March 31, 2026 compared to the corresponding period in 2025, primarily due to a retirement plan settlement loss of $20.8 million in 2025, partially offset by higher office-related expenses of $2.6 million and higher professional fees of $2.2 million.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Interest on Borrowings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Interest on borrowings reflects interest expense related to our debt and credit facilities. </w:t>
      </w:r>
      <w:r>
        <w:rPr>
          <w:rFonts w:ascii="Times New Roman;serif" w:hAnsi="Times New Roman;serif"/>
          <w:b w:val="false"/>
          <w:i/>
          <w:color w:val="000000"/>
          <w:sz w:val="20"/>
        </w:rPr>
        <w:t>See Note 16 to AB's condensed consolidated financial statements contained in Item 1</w:t>
      </w:r>
      <w:r>
        <w:rPr>
          <w:rFonts w:ascii="Times New Roman;serif" w:hAnsi="Times New Roman;serif"/>
          <w:b w:val="false"/>
          <w:color w:val="000000"/>
          <w:sz w:val="20"/>
        </w:rPr>
        <w:t>, for disclosures relating to our debt and credit facilities. For the three months ended March 31, 2026 interest on borrowings increased $0.1 million, or 1.0%, compared to the three months ended March 31, 2025. The increase was primarily due to higher weighted average borrowings, partially offset by lower weighted average interest rates.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Amortization of Intangible Assets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reflects our amortization of costs assigned to acquired investment management contracts with a finite life. These assets are recognized at fair value and generally are amortized on a straight-line basis over their estimated useful life. Amortization of intangible assets decreased $0.1 million during the three months ended March 31, 2026 compared to the three months ended March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a private limited partnership, is not subject to federal or state corporate income taxes. However, AB is subject to a 4.0% New York City unincorporated business tax (“UBT”). Our domestic corporate subsidiaries are subject to federal, state and local income taxes and generally are included in the filing of a consolidated federal income tax return. Separate state and local income tax returns also are filed. Foreign corporate subsidiaries generally are subject to taxes in the jurisdictions where they are located.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for the three months ended March 31, 2026 increased $3.5 million, or 23.8%, compared to the three months ended March 31, 2025. The increase was primarily due to higher pre-tax income. There were no material changes to uncertain tax positions (FIN 48 reserves) or valuation allowances against deferred tax assets for the three months ended March 31,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Income (Loss) of Consolidated Entities Attributable to Non-Controlling Interests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(loss) of consolidated entities attributable to non-controlling interests primarily consists of limited partner interests owned by other investors in our consolidated company-sponsored investment funds and certain other investments. For the three months ended March 31, 2026, we had $13.2 million of net income of consolidated entities attributable to non-controlling interests compared to net income of $0.9 million for the three months ended March 31, 2025. The increase is driven by higher net income of a consolidated investment attributable to limited partnership interest owned by non-controlling investors.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CAPITAL RESOURCES AND LIQUIDITY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flows from operating activities primarily include the receipt of investment advisory and services fees and other revenues offset by the payment of operating expenses incurred in the normal course of business. Our cash flows from operating activities have historically been positive and sufficient in supporting our operations. We do not anticipate this to change in the foreseeable future. Cash flows from investing activities generally consist of small capital expenditures and, when applicable, business acquisitions. Cash flows from financing activities primarily consist of issuance and repayment of debt and the repurchase of AB Holding Units for our long-term deferred compensation plans. We are required to distribute all of our Available Cash Flow to our Unitholders and the General Partner.</w:t>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three months of 2026, net cash provided by operating activities was $460.6 million compared to net cash provided by operating activities of $148.8 million during the corresponding 2025 period. The increase is primarily due to a decrease in net broker dealer assets of $176.2 million, a decrease in investments of $174.2 million, the net activity of our consolidated company-sponsored investment funds of $106.8 million and an increase in net income of $37.2 million, partially offset by an increase in fees receivable of $93.7 million and a decrease in accounts payable and accrued liabilities of $75.7 million.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three months of 2026, net cash used in investing activities was $10.3 million, compared to net cash used in investing activities of $7.5 million during the corresponding 2025 period. The change is due to higher purchases of furniture, equipment and leasehold improvements of $2.8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three months of 2026, net cash used in financing activities was $364.4 million, compared to $190.7 million during the corresponding 2025 period. The change is primarily due to an increase in debt repayments of $135.0 million and higher distributions to our consolidated funds of $88.7 million, partially offset by lower cash distributions to Unitholders of $27.9 million and a decrease in purchases of AB Holding Units to fund long term incentive compensation of $22.1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AB had $856.9 million of cash and cash equivalents (excluding cash and cash equivalents of consolidated company-sponsored investment funds), all of which is available for liquidity but consists primarily of cash on deposit for our broker-dealers related to various customer clearing activities, and cash held by foreign subsidiaries of $401.8 million.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See Note 16 to AB’s condensed consolidated financial statements contained in Item 1,</w:t>
      </w:r>
      <w:r>
        <w:rPr>
          <w:color w:val="000000"/>
        </w:rPr>
        <w:t xml:space="preserve"> </w:t>
      </w:r>
      <w:r>
        <w:rPr>
          <w:rFonts w:ascii="Times New Roman;serif" w:hAnsi="Times New Roman;serif"/>
          <w:b w:val="false"/>
          <w:color w:val="000000"/>
          <w:sz w:val="20"/>
        </w:rPr>
        <w:t>for disclosures relating to our debt and credit facilities. We use our debt and credit facilities to seed certain new investment products which may expose us to market risk, credit risk and material gains and losses. To reduce our exposure, we enter into various futures, forwards, options and swaps primarily to economically hedge certain of our seed money investments. While in most cases broad market risks are hedged and are effective in reducing our exposure, our hedges are imperfect and we may remain exposed to some market risk and credit-related losses in the event of non-performance by counterparties on these derivative instruments.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Our financial condition and access to public and private debt markets should provide adequate liquidity for our general business needs. Management believes that cash flow from operations and the issuance of debt and AB Units or AB Holding Units will provide us with the resources we need to meet our financial obligations. See “</w:t>
      </w:r>
      <w:r>
        <w:rPr>
          <w:rFonts w:ascii="Times New Roman;serif" w:hAnsi="Times New Roman;serif"/>
          <w:b w:val="false"/>
          <w:i/>
          <w:color w:val="000000"/>
          <w:sz w:val="20"/>
        </w:rPr>
        <w:t>Cautions Regarding Forward-Looking Statements</w:t>
      </w:r>
      <w:r>
        <w:rPr>
          <w:color w:val="000000"/>
        </w:rPr>
        <w:t xml:space="preserve">” </w:t>
      </w:r>
      <w:r>
        <w:rPr>
          <w:rFonts w:ascii="Times New Roman;serif" w:hAnsi="Times New Roman;serif"/>
          <w:b w:val="false"/>
          <w:color w:val="000000"/>
          <w:sz w:val="20"/>
        </w:rPr>
        <w:t>for a discussion of credit markets and our ability to renew our credit facilities at expiration.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COMMITMENTS AND CONTINGENCIES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AB’s capital commitments, which consist primarily of operating leases for office space, generally are funded from future operating cash flows. </w:t>
      </w:r>
      <w:r>
        <w:rPr>
          <w:rFonts w:ascii="Times New Roman;serif" w:hAnsi="Times New Roman;serif"/>
          <w:b w:val="false"/>
          <w:i/>
          <w:color w:val="000000"/>
          <w:sz w:val="20"/>
        </w:rPr>
        <w:t>See Note 13</w:t>
      </w:r>
      <w:r>
        <w:rPr>
          <w:color w:val="000000"/>
        </w:rPr>
        <w:t xml:space="preserve"> </w:t>
      </w:r>
      <w:r>
        <w:rPr>
          <w:rFonts w:ascii="Times New Roman;serif" w:hAnsi="Times New Roman;serif"/>
          <w:b w:val="false"/>
          <w:color w:val="000000"/>
          <w:sz w:val="20"/>
        </w:rPr>
        <w:t>for discussion of lease commitments.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See Note 12</w:t>
      </w:r>
      <w:r>
        <w:rPr>
          <w:color w:val="000000"/>
        </w:rPr>
        <w:t xml:space="preserve"> </w:t>
      </w:r>
      <w:r>
        <w:rPr>
          <w:rFonts w:ascii="Times New Roman;serif" w:hAnsi="Times New Roman;serif"/>
          <w:b w:val="false"/>
          <w:color w:val="000000"/>
          <w:sz w:val="20"/>
        </w:rPr>
        <w:t>for discussion of commitments and contingencies</w:t>
      </w:r>
      <w:r>
        <w:rPr>
          <w:rFonts w:ascii="Times New Roman;serif" w:hAnsi="Times New Roman;serif"/>
          <w:b w:val="false"/>
          <w:i/>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and notes to condensed consolidated financial statements requires management to make estimates and judgments that affect the reported amounts of assets, liabilities, revenues and expenses.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There have been no updates to our critical accounting estimates during the first quarter of 2026 from those disclosed in </w:t>
      </w:r>
      <w:r>
        <w:rPr>
          <w:color w:val="000000"/>
        </w:rPr>
        <w:t>“</w:t>
      </w:r>
      <w:r>
        <w:rPr>
          <w:rFonts w:ascii="Times New Roman;serif" w:hAnsi="Times New Roman;serif"/>
          <w:b w:val="false"/>
          <w:i/>
          <w:color w:val="000000"/>
          <w:sz w:val="20"/>
        </w:rPr>
        <w:t>Management’s Discussion and Analysis of Financial Condition”</w:t>
      </w:r>
      <w:r>
        <w:rPr>
          <w:color w:val="000000"/>
        </w:rPr>
        <w:t xml:space="preserve"> </w:t>
      </w:r>
      <w:r>
        <w:rPr>
          <w:rFonts w:ascii="Times New Roman;serif" w:hAnsi="Times New Roman;serif"/>
          <w:b w:val="false"/>
          <w:color w:val="000000"/>
          <w:sz w:val="20"/>
        </w:rPr>
        <w:t>in our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ACCOUNTING PRONOUNCEMENTS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See Note 2 to AB’s condensed consolidated financial statements contained in Item 1</w:t>
      </w:r>
      <w:r>
        <w:rPr>
          <w:rFonts w:ascii="Times New Roman;serif" w:hAnsi="Times New Roman;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CAUTIONS REGARDING FORWARD-LOOKING STATEMENTS</w:t>
      </w:r>
    </w:p>
    <w:p>
      <w:pPr>
        <w:pStyle w:val="TextBody"/>
        <w:bidi w:val="0"/>
        <w:spacing w:before="0" w:after="0"/>
        <w:jc w:val="left"/>
        <w:rPr/>
      </w:pPr>
      <w:r>
        <w:rPr/>
      </w:r>
    </w:p>
    <w:p>
      <w:pPr>
        <w:pStyle w:val="TextBody"/>
        <w:bidi w:val="0"/>
        <w:spacing w:lineRule="auto" w:line="268"/>
        <w:jc w:val="both"/>
        <w:rPr/>
      </w:pPr>
      <w:r>
        <w:rPr>
          <w:rFonts w:ascii="Times New Roman;serif" w:hAnsi="Times New Roman;serif"/>
          <w:b w:val="false"/>
          <w:color w:val="000000"/>
          <w:sz w:val="20"/>
        </w:rPr>
        <w:t xml:space="preserve">Certain statements provided by management in this report and in the portion of AB’s Form 10-Q attached hereto as </w:t>
      </w:r>
      <w:r>
        <w:rPr>
          <w:rFonts w:ascii="Times New Roman;serif" w:hAnsi="Times New Roman;serif"/>
          <w:b w:val="false"/>
          <w:i/>
          <w:color w:val="000000"/>
          <w:sz w:val="20"/>
        </w:rPr>
        <w:t>Exhibit 99.1</w:t>
      </w:r>
      <w:r>
        <w:rPr>
          <w:color w:val="000000"/>
        </w:rPr>
        <w:t xml:space="preserve"> </w:t>
      </w:r>
      <w:r>
        <w:rPr>
          <w:rFonts w:ascii="Times New Roman;serif" w:hAnsi="Times New Roman;serif"/>
          <w:b w:val="false"/>
          <w:color w:val="000000"/>
          <w:sz w:val="20"/>
        </w:rPr>
        <w:t xml:space="preserve">are “forward-looking statements” within the meaning of the Private Securities Litigation Reform Act of 1995. Such forward-looking statements are subject to risks, uncertainties and other factors that could cause actual results to differ materially from future results expressed or implied by such forward-looking statements. The most significant of these factors include, but are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0"/>
        </w:rPr>
        <w:t>not limited to, the following: the performance of financial markets, the investment performance of sponsored investment products and separately managed accounts, general economic conditions, the impact of tariffs and potential disruptions in international trade on financial markets, product and account performance, asset levels and economic conditions, industry trends, future acquisitions, integration of acquired companies, competitive conditions and government regulations, including changes in tax regulations and rates and the manner in which the earnings of publicly-traded partnerships are taxed. We caution readers to carefully consider such factors. Further, these forward-looking statements speak only as of the date on which such statements are made; we undertake no obligation to update any forward-looking statements to reflect events or circumstances after the date of such statements. For further information regarding these forward-looking statements and the factors that could cause actual results to differ,</w:t>
      </w:r>
      <w:r>
        <w:rPr>
          <w:color w:val="000000"/>
        </w:rPr>
        <w:t> </w:t>
      </w:r>
      <w:r>
        <w:rPr>
          <w:rFonts w:ascii="Times New Roman;serif" w:hAnsi="Times New Roman;serif"/>
          <w:b w:val="false"/>
          <w:i/>
          <w:color w:val="000000"/>
          <w:sz w:val="20"/>
        </w:rPr>
        <w:t>see “Risk Factors” in Part I, Item 1A</w:t>
      </w:r>
      <w:r>
        <w:rPr>
          <w:color w:val="000000"/>
        </w:rPr>
        <w:t xml:space="preserve"> </w:t>
      </w:r>
      <w:r>
        <w:rPr>
          <w:rFonts w:ascii="Times New Roman;serif" w:hAnsi="Times New Roman;serif"/>
          <w:b w:val="false"/>
          <w:color w:val="000000"/>
          <w:sz w:val="20"/>
        </w:rPr>
        <w:t xml:space="preserve">of our Form 10-K for the year ended December 31, 2025 </w:t>
      </w:r>
      <w:r>
        <w:rPr>
          <w:rFonts w:ascii="Times New Roman;serif" w:hAnsi="Times New Roman;serif"/>
          <w:b w:val="false"/>
          <w:i/>
          <w:color w:val="000000"/>
          <w:sz w:val="20"/>
        </w:rPr>
        <w:t>and Part II, Item 1A</w:t>
      </w:r>
      <w:r>
        <w:rPr>
          <w:color w:val="000000"/>
        </w:rPr>
        <w:t> </w:t>
      </w:r>
      <w:r>
        <w:rPr>
          <w:rFonts w:ascii="Times New Roman;serif" w:hAnsi="Times New Roman;serif"/>
          <w:b w:val="false"/>
          <w:color w:val="000000"/>
          <w:sz w:val="20"/>
        </w:rPr>
        <w:t xml:space="preserve">in this Form 10-Q. Any or all of the forward-looking statements that we make in our Form 10-K, this Form 10-Q, other documents we file with or furnish to the SEC, and any other public statements we issue, may turn out to be wrong. It is important to remember that other factors besides </w:t>
      </w:r>
      <w:r>
        <w:rPr>
          <w:rFonts w:ascii="Times New Roman;serif" w:hAnsi="Times New Roman;serif"/>
          <w:b w:val="false"/>
          <w:i/>
          <w:color w:val="000000"/>
          <w:sz w:val="20"/>
        </w:rPr>
        <w:t>those listed in “Risk Factors” and those listed below</w:t>
      </w:r>
      <w:r>
        <w:rPr>
          <w:color w:val="000000"/>
        </w:rPr>
        <w:t xml:space="preserve"> </w:t>
      </w:r>
      <w:r>
        <w:rPr>
          <w:rFonts w:ascii="Times New Roman;serif" w:hAnsi="Times New Roman;serif"/>
          <w:b w:val="false"/>
          <w:color w:val="000000"/>
          <w:sz w:val="20"/>
        </w:rPr>
        <w:t>could also adversely impact our revenues, financial condition, results of operations and business prospects.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forward-looking statements referred to in </w:t>
      </w:r>
      <w:r>
        <w:rPr>
          <w:rFonts w:ascii="Times New Roman;serif" w:hAnsi="Times New Roman;serif"/>
          <w:b w:val="false"/>
          <w:i/>
          <w:color w:val="000000"/>
          <w:sz w:val="20"/>
        </w:rPr>
        <w:t>the preceding paragraph</w:t>
      </w:r>
      <w:r>
        <w:rPr>
          <w:rFonts w:ascii="Times New Roman;serif" w:hAnsi="Times New Roman;serif"/>
          <w:b w:val="false"/>
          <w:color w:val="000000"/>
          <w:sz w:val="20"/>
        </w:rPr>
        <w:t>, most of which directly affect AB and may also affect AB Holding because AB Holding’s principal source of income and cash flow is attributable to its investment in AB, include statements regarding:</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u w:val="single"/>
        </w:rPr>
        <w:t>Our belief that the cash flow AB Holding realizes from its investment in AB will provide AB Holding with the resources it needs to meet its financial obligations:</w:t>
      </w:r>
      <w:r>
        <w:rPr>
          <w:color w:val="000000"/>
        </w:rPr>
        <w:t xml:space="preserve"> </w:t>
      </w:r>
      <w:r>
        <w:rPr>
          <w:rFonts w:ascii="Times New Roman;serif" w:hAnsi="Times New Roman;serif"/>
          <w:b w:val="false"/>
          <w:color w:val="000000"/>
          <w:sz w:val="20"/>
        </w:rPr>
        <w:t>AB Holding’s cash flow is dependent on the quarterly cash distributions it receives from AB. Accordingly, AB Holding’s ability to meet its financial obligations is dependent on AB’s cash flow from its operations, which is subject to the performance of the capital markets and other factors beyond our control.</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u w:val="single"/>
        </w:rPr>
        <w:t>Our financial condition and ability to access the public and private capital markets providing adequate liquidity for our general business needs:</w:t>
      </w:r>
      <w:r>
        <w:rPr>
          <w:color w:val="000000"/>
        </w:rPr>
        <w:t xml:space="preserve"> </w:t>
      </w:r>
      <w:r>
        <w:rPr>
          <w:rFonts w:ascii="Times New Roman;serif" w:hAnsi="Times New Roman;serif"/>
          <w:b w:val="false"/>
          <w:color w:val="000000"/>
          <w:sz w:val="20"/>
        </w:rPr>
        <w:t>Our financial condition is dependent on our cash flow from operations, which is subject to the performance of the capital markets, our ability to maintain and grow client assets under management and other factors beyond our control. Our ability to access public and private capital markets on reasonable terms may be limited by adverse market conditions, our firm’s credit ratings, our profitability and changes in government regulations, including tax rates and interest rates.</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u w:val="single"/>
        </w:rPr>
        <w:t>The outcome of litigation:</w:t>
      </w:r>
      <w:r>
        <w:rPr>
          <w:color w:val="000000"/>
        </w:rPr>
        <w:t xml:space="preserve"> </w:t>
      </w:r>
      <w:r>
        <w:rPr>
          <w:rFonts w:ascii="Times New Roman;serif" w:hAnsi="Times New Roman;serif"/>
          <w:b w:val="false"/>
          <w:color w:val="000000"/>
          <w:sz w:val="20"/>
        </w:rPr>
        <w:t>Litigation is inherently unpredictable and excessive damage awards do occur. Though we have stated that we do not expect any pending legal proceedings to have a material adverse effect on our results of operations, financial condition or liquidity, any settlement or judgment with respect to a legal proceeding could be significant and could have such an effect.</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u w:val="single"/>
        </w:rPr>
        <w:t>The possibility that we will engage in open market purchases of AB Holding Units for anticipated obligations under our incentive compensation award program:</w:t>
      </w:r>
      <w:r>
        <w:rPr>
          <w:color w:val="000000"/>
        </w:rPr>
        <w:t xml:space="preserve"> </w:t>
      </w:r>
      <w:r>
        <w:rPr>
          <w:rFonts w:ascii="Times New Roman;serif" w:hAnsi="Times New Roman;serif"/>
          <w:b w:val="false"/>
          <w:color w:val="000000"/>
          <w:sz w:val="20"/>
        </w:rPr>
        <w:t>The number of AB Holding Units AB may decide to buy in future periods, if any, for incentive compensation awards depends on various factors, some of which are beyond our control, including the fluctuation in the price of an AB Holding Unit (NYSE: AB) and the availability of cash to make these purchases.</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u w:val="single"/>
        </w:rPr>
        <w:t>Our determination that adjusted employee compensation expense, excluding the impact of performance-based fees, generally should not exceed 50% of our adjusted net revenues on an annual basis:</w:t>
      </w:r>
      <w:r>
        <w:rPr>
          <w:color w:val="000000"/>
        </w:rPr>
        <w:t xml:space="preserve"> </w:t>
      </w:r>
      <w:r>
        <w:rPr>
          <w:rFonts w:ascii="Times New Roman;serif" w:hAnsi="Times New Roman;serif"/>
          <w:b w:val="false"/>
          <w:color w:val="000000"/>
          <w:sz w:val="20"/>
        </w:rPr>
        <w:t>Aggregate employee compensation reflects employee performance and competitive compensation levels.  Fluctuations in our revenues and/or changes in competitive compensation levels could result in adjusted employee compensation expense exceeding 50% of our adjusted net revenues.</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u w:val="single"/>
        </w:rPr>
        <w:t>Our initiative to replace our investment management technology:</w:t>
      </w:r>
      <w:r>
        <w:rPr>
          <w:color w:val="000000"/>
        </w:rPr>
        <w:t xml:space="preserve"> </w:t>
      </w:r>
      <w:r>
        <w:rPr>
          <w:rFonts w:ascii="Times New Roman;serif" w:hAnsi="Times New Roman;serif"/>
          <w:b w:val="false"/>
          <w:color w:val="000000"/>
          <w:sz w:val="20"/>
        </w:rPr>
        <w:t>While we believe that our initiative to replace our existing investment management technology will result in long term savings to the business based on reasonable assumptions as of the date of this report, the duration and complexity of the project creates a significant risk that our current assumptions may not be realized.</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rFonts w:ascii="Times New Roman;serif" w:hAnsi="Times New Roman;serif"/>
          <w:b/>
          <w:color w:val="000000"/>
          <w:sz w:val="20"/>
        </w:rPr>
        <w:t>Item 3.     </w:t>
      </w:r>
      <w:r>
        <w:rPr>
          <w:rFonts w:ascii="Times New Roman;serif" w:hAnsi="Times New Roman;serif"/>
          <w:b/>
          <w:color w:val="000000"/>
          <w:sz w:val="20"/>
          <w:u w:val="single"/>
        </w:rPr>
        <w:t>Quantitative and Qualitative Disclosures About Market Risk</w:t>
      </w:r>
    </w:p>
    <w:p>
      <w:pPr>
        <w:pStyle w:val="TextBody"/>
        <w:bidi w:val="0"/>
        <w:spacing w:before="0" w:after="0"/>
        <w:jc w:val="left"/>
        <w:rPr/>
      </w:pPr>
      <w:r>
        <w:rPr/>
      </w:r>
    </w:p>
    <w:p>
      <w:pPr>
        <w:pStyle w:val="TextBody"/>
        <w:bidi w:val="0"/>
        <w:spacing w:lineRule="auto" w:line="288" w:before="0" w:after="180"/>
        <w:jc w:val="both"/>
        <w:rPr/>
      </w:pPr>
      <w:r>
        <w:rPr>
          <w:rFonts w:ascii="Times New Roman;serif" w:hAnsi="Times New Roman;serif"/>
          <w:b w:val="false"/>
          <w:color w:val="000000"/>
          <w:sz w:val="20"/>
        </w:rPr>
        <w:t xml:space="preserve">There have been no material changes in AB’s market risk during the first quarter of 2026 from the information provided under </w:t>
      </w:r>
      <w:r>
        <w:rPr>
          <w:color w:val="000000"/>
        </w:rPr>
        <w:t>“</w:t>
      </w:r>
      <w:r>
        <w:rPr>
          <w:rFonts w:ascii="Times New Roman;serif" w:hAnsi="Times New Roman;serif"/>
          <w:b w:val="false"/>
          <w:i/>
          <w:color w:val="000000"/>
          <w:sz w:val="20"/>
        </w:rPr>
        <w:t xml:space="preserve">Quantitative and Qualitative Disclosures About Market Risk” </w:t>
      </w:r>
      <w:r>
        <w:rPr>
          <w:rFonts w:ascii="Times New Roman;serif" w:hAnsi="Times New Roman;serif"/>
          <w:b w:val="false"/>
          <w:color w:val="000000"/>
          <w:sz w:val="20"/>
        </w:rPr>
        <w:t>in Part II, Item 7A of AB's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ind w:left="0" w:right="0" w:hanging="360"/>
        <w:jc w:val="left"/>
        <w:rPr/>
      </w:pPr>
      <w:r>
        <w:rPr>
          <w:rFonts w:ascii="Times New Roman;serif" w:hAnsi="Times New Roman;serif"/>
          <w:b/>
          <w:color w:val="000000"/>
          <w:sz w:val="20"/>
        </w:rPr>
        <w:t>Item 4.     </w:t>
      </w:r>
      <w:r>
        <w:rPr>
          <w:rFonts w:ascii="Times New Roman;serif" w:hAnsi="Times New Roman;serif"/>
          <w:b/>
          <w:color w:val="000000"/>
          <w:sz w:val="20"/>
          <w:u w:val="single"/>
        </w:rPr>
        <w:t>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Holding and AB maintain a system of disclosure controls and procedures that is designed to ensure that information required to be disclosed in our reports under the Exchange Act is (i) recorded, processed, summarized and reported in a timely manner, and (ii) accumulated and communicated to management, including the Chief Executive Officer ("CEO") and the Chief Financial Officer ("CFO"), to permit timely decisions regarding our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management carried out an evaluation, under the supervision and with the participation of the CEO and the CFO, of the effectiveness of the design and operation of the disclosure controls and procedures. Based on this evaluation, the CEO and the CFO concluded that the disclosure controls and procedures are effective.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completed the implementation of a new accounting and financial reporting software system (the "software system"). As part of this implementation, the Company updated its internal controls over financial reporting to address changes in business processes resulting from the new software system. There were no other changes in our internal control over financial reporting that occurred during the first quarter of 2026, that have materially affected, or are reasonably likely to have materially affected, our internal control over financial reporting.</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54</Pages>
  <Words>28228</Words>
  <Characters>159815</Characters>
  <CharactersWithSpaces>186267</CharactersWithSpaces>
  <Paragraphs>4305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