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September 10, 2026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ALLIANCEBERNSTEIN L.P.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263" w:type="dxa"/>
        <w:jc w:val="left"/>
        <w:tblInd w:w="0" w:type="dxa"/>
        <w:tblLayout w:type="fixed"/>
        <w:tblCellMar>
          <w:top w:w="28" w:type="dxa"/>
          <w:left w:w="28" w:type="dxa"/>
          <w:bottom w:w="28" w:type="dxa"/>
          <w:right w:w="28" w:type="dxa"/>
        </w:tblCellMar>
      </w:tblPr>
      <w:tblGrid>
        <w:gridCol w:w="933"/>
        <w:gridCol w:w="819"/>
        <w:gridCol w:w="828"/>
        <w:gridCol w:w="762"/>
        <w:gridCol w:w="762"/>
        <w:gridCol w:w="770"/>
        <w:gridCol w:w="989"/>
        <w:gridCol w:w="989"/>
        <w:gridCol w:w="141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000-29961</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13-4064930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before="0" w:after="0"/>
        <w:jc w:val="both"/>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501 Commerce Street, Nashville, TN  37203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(615) 622-0000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1155"/>
                <wp:effectExtent l="0" t="0" r="0" b="0"/>
                <wp:wrapNone/>
                <wp:docPr id="1" name="Frame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w:t>
      </w:r>
    </w:p>
    <w:tbl>
      <w:tblPr>
        <w:tblW w:w="10205" w:type="dxa"/>
        <w:jc w:val="center"/>
        <w:tblInd w:w="0" w:type="dxa"/>
        <w:tblLayout w:type="fixed"/>
        <w:tblCellMar>
          <w:top w:w="28" w:type="dxa"/>
          <w:left w:w="28" w:type="dxa"/>
          <w:bottom w:w="28" w:type="dxa"/>
          <w:right w:w="28" w:type="dxa"/>
        </w:tblCellMar>
      </w:tblPr>
      <w:tblGrid>
        <w:gridCol w:w="1663"/>
        <w:gridCol w:w="1454"/>
        <w:gridCol w:w="1452"/>
        <w:gridCol w:w="109"/>
        <w:gridCol w:w="109"/>
        <w:gridCol w:w="109"/>
        <w:gridCol w:w="465"/>
        <w:gridCol w:w="465"/>
        <w:gridCol w:w="467"/>
        <w:gridCol w:w="109"/>
        <w:gridCol w:w="109"/>
        <w:gridCol w:w="109"/>
        <w:gridCol w:w="1046"/>
        <w:gridCol w:w="1046"/>
        <w:gridCol w:w="1493"/>
      </w:tblGrid>
      <w:tr>
        <w:trPr/>
        <w:tc>
          <w:tcPr>
            <w:tcW w:w="1663"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4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Units of limited partnership interest in AllianceBernstein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8475"/>
                <wp:effectExtent l="0" t="0" r="0" b="0"/>
                <wp:wrapNone/>
                <wp:docPr id="2" name="Frame2"/>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Item 7.01.    </w:t>
      </w:r>
      <w:r>
        <w:rPr>
          <w:rFonts w:ascii="Times New Roman;serif" w:hAnsi="Times New Roman;serif"/>
          <w:b/>
          <w:color w:val="000000"/>
          <w:sz w:val="24"/>
          <w:u w:val="single"/>
        </w:rPr>
        <w:t>Regulation FD Disclosure.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AllianceBernstein L.P. (“</w:t>
      </w:r>
      <w:r>
        <w:rPr>
          <w:rFonts w:ascii="Times New Roman;serif" w:hAnsi="Times New Roman;serif"/>
          <w:b w:val="false"/>
          <w:color w:val="000000"/>
          <w:sz w:val="24"/>
          <w:u w:val="single"/>
        </w:rPr>
        <w:t>AB</w:t>
      </w:r>
      <w:r>
        <w:rPr>
          <w:color w:val="000000"/>
        </w:rPr>
        <w:t>”</w:t>
      </w:r>
      <w:r>
        <w:rPr>
          <w:rFonts w:ascii="Times New Roman;serif" w:hAnsi="Times New Roman;serif"/>
          <w:b w:val="false"/>
          <w:color w:val="000000"/>
          <w:sz w:val="24"/>
        </w:rPr>
        <w:t>) and AllianceBernstein Holding L.P. are furnishing a news release (“</w:t>
      </w:r>
      <w:r>
        <w:rPr>
          <w:rFonts w:ascii="Times New Roman;serif" w:hAnsi="Times New Roman;serif"/>
          <w:b w:val="false"/>
          <w:color w:val="000000"/>
          <w:sz w:val="24"/>
          <w:u w:val="single"/>
        </w:rPr>
        <w:t>AUM Release</w:t>
      </w:r>
      <w:r>
        <w:rPr>
          <w:color w:val="000000"/>
        </w:rPr>
        <w:t>”</w:t>
      </w:r>
      <w:r>
        <w:rPr>
          <w:rFonts w:ascii="Times New Roman;serif" w:hAnsi="Times New Roman;serif"/>
          <w:b w:val="false"/>
          <w:color w:val="000000"/>
          <w:sz w:val="24"/>
        </w:rPr>
        <w:t>) issued on September 10, 2026 announcing AB’s preliminary assets under management as of August 31, 2026. The AUM Release is attached hereto as Exhibit 99.01.</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Item 9.01.    </w:t>
      </w:r>
      <w:r>
        <w:rPr>
          <w:rFonts w:ascii="Times New Roman;serif" w:hAnsi="Times New Roman;serif"/>
          <w:b/>
          <w:color w:val="000000"/>
          <w:sz w:val="24"/>
          <w:u w:val="single"/>
        </w:rPr>
        <w:t>Financial Statements and Exhibits.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945"/>
        <w:jc w:val="both"/>
        <w:rPr/>
      </w:pPr>
      <w:r>
        <w:rPr>
          <w:rFonts w:ascii="Times New Roman;serif" w:hAnsi="Times New Roman;serif"/>
          <w:b w:val="false"/>
          <w:color w:val="000000"/>
          <w:sz w:val="24"/>
        </w:rPr>
        <w:t>99.01    </w:t>
      </w:r>
      <w:hyperlink w:anchor="ex9901ab2026augustaumrelea.htm">
        <w:r>
          <w:rPr>
            <w:rStyle w:val="InternetLink"/>
            <w:rFonts w:ascii="Times New Roman;serif" w:hAnsi="Times New Roman;serif"/>
            <w:b w:val="false"/>
            <w:color w:val="0000FF"/>
            <w:sz w:val="24"/>
            <w:u w:val="single"/>
          </w:rPr>
          <w:t>AUM Release.</w:t>
        </w:r>
      </w:hyperlink>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8475"/>
                <wp:effectExtent l="0" t="0" r="0" b="0"/>
                <wp:wrapNone/>
                <wp:docPr id="3" name="Frame3"/>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602" w:type="dxa"/>
        <w:jc w:val="center"/>
        <w:tblInd w:w="0" w:type="dxa"/>
        <w:tblLayout w:type="fixed"/>
        <w:tblCellMar>
          <w:top w:w="28" w:type="dxa"/>
          <w:left w:w="28" w:type="dxa"/>
          <w:bottom w:w="28" w:type="dxa"/>
          <w:right w:w="28" w:type="dxa"/>
        </w:tblCellMar>
      </w:tblPr>
      <w:tblGrid>
        <w:gridCol w:w="983"/>
        <w:gridCol w:w="864"/>
        <w:gridCol w:w="867"/>
        <w:gridCol w:w="109"/>
        <w:gridCol w:w="109"/>
        <w:gridCol w:w="109"/>
        <w:gridCol w:w="507"/>
        <w:gridCol w:w="507"/>
        <w:gridCol w:w="507"/>
        <w:gridCol w:w="597"/>
        <w:gridCol w:w="597"/>
        <w:gridCol w:w="846"/>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6"/>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8"/>
              </w:rPr>
              <w:t>A</w:t>
            </w:r>
            <w:r>
              <w:rPr>
                <w:rFonts w:ascii="Times New Roman;serif" w:hAnsi="Times New Roman;serif"/>
                <w:b w:val="false"/>
                <w:color w:val="000000"/>
                <w:sz w:val="24"/>
              </w:rPr>
              <w:t>LLIANCE</w:t>
            </w:r>
            <w:r>
              <w:rPr>
                <w:rFonts w:ascii="Times New Roman;serif" w:hAnsi="Times New Roman;serif"/>
                <w:b w:val="false"/>
                <w:color w:val="000000"/>
                <w:sz w:val="28"/>
              </w:rPr>
              <w:t>B</w:t>
            </w:r>
            <w:r>
              <w:rPr>
                <w:rFonts w:ascii="Times New Roman;serif" w:hAnsi="Times New Roman;serif"/>
                <w:b w:val="false"/>
                <w:color w:val="000000"/>
                <w:sz w:val="24"/>
              </w:rPr>
              <w:t>ERNSTEIN L.P.</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September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4"/>
              </w:rPr>
              <w:br/>
              <w:br/>
            </w:r>
            <w:r>
              <w:rPr>
                <w:rFonts w:ascii="Times New Roman;serif" w:hAnsi="Times New Roman;serif"/>
                <w:b w:val="false"/>
                <w:color w:val="000000"/>
                <w:sz w:val="24"/>
              </w:rPr>
              <w:t>/s/ Mark Manley</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Mark Manley</w:t>
              <w:br/>
              <w:t>Corporate Secretary</w:t>
            </w:r>
          </w:p>
        </w:tc>
      </w:tr>
    </w:tbl>
    <w:p>
      <w:pPr>
        <w:pStyle w:val="TextBody"/>
        <w:bidi w:val="0"/>
        <w:spacing w:before="0" w:after="0"/>
        <w:ind w:left="0" w:right="0" w:firstLine="43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8475"/>
                <wp:effectExtent l="0" t="0" r="0" b="0"/>
                <wp:wrapNone/>
                <wp:docPr id="4" name="Frame4"/>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v:textbox>
                <w10:wrap type="none"/>
              </v:rect>
            </w:pict>
          </mc:Fallback>
        </mc:AlternateContent>
      </w:r>
    </w:p>
    <w:tbl>
      <w:tblPr>
        <w:tblW w:w="7633" w:type="dxa"/>
        <w:jc w:val="center"/>
        <w:tblInd w:w="0" w:type="dxa"/>
        <w:tblLayout w:type="fixed"/>
        <w:tblCellMar>
          <w:top w:w="28" w:type="dxa"/>
          <w:left w:w="28" w:type="dxa"/>
          <w:bottom w:w="28" w:type="dxa"/>
          <w:right w:w="28" w:type="dxa"/>
        </w:tblCellMar>
      </w:tblPr>
      <w:tblGrid>
        <w:gridCol w:w="395"/>
        <w:gridCol w:w="347"/>
        <w:gridCol w:w="349"/>
        <w:gridCol w:w="1045"/>
        <w:gridCol w:w="1045"/>
        <w:gridCol w:w="1046"/>
        <w:gridCol w:w="997"/>
        <w:gridCol w:w="997"/>
        <w:gridCol w:w="1412"/>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28650" cy="6286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28650" cy="628650"/>
                          </a:xfrm>
                          <a:prstGeom prst="rect">
                            <a:avLst/>
                          </a:prstGeom>
                        </pic:spPr>
                      </pic:pic>
                    </a:graphicData>
                  </a:graphic>
                </wp:inline>
              </w:drawing>
            </w:r>
          </w:p>
        </w:tc>
        <w:tc>
          <w:tcPr>
            <w:tcW w:w="313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color w:val="000000"/>
                <w:sz w:val="18"/>
              </w:rPr>
            </w:pPr>
            <w:r>
              <w:rPr>
                <w:rFonts w:ascii="Arial;sans-serif" w:hAnsi="Arial;sans-serif"/>
                <w:b/>
                <w:color w:val="000000"/>
                <w:sz w:val="18"/>
              </w:rPr>
              <w:t>Ioanis Jorgali, Investors</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629.213.6139</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ioanis.jorgali@alliancebernstein.com</w:t>
            </w:r>
          </w:p>
        </w:tc>
        <w:tc>
          <w:tcPr>
            <w:tcW w:w="340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color w:val="000000"/>
                <w:sz w:val="18"/>
              </w:rPr>
            </w:pPr>
            <w:r>
              <w:rPr>
                <w:rFonts w:ascii="Arial;sans-serif" w:hAnsi="Arial;sans-serif"/>
                <w:b/>
                <w:color w:val="000000"/>
                <w:sz w:val="18"/>
              </w:rPr>
              <w:t>Carly Symington, Media</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629.213.5568</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carly.symington@alliancebernstein.com</w:t>
            </w:r>
          </w:p>
        </w:tc>
      </w:tr>
    </w:tbl>
    <w:p>
      <w:pPr>
        <w:pStyle w:val="TextBody"/>
        <w:bidi w:val="0"/>
        <w:spacing w:before="60" w:after="283"/>
        <w:jc w:val="center"/>
        <w:rPr/>
      </w:pPr>
      <w:r>
        <w:rPr/>
      </w:r>
    </w:p>
    <w:p>
      <w:pPr>
        <w:pStyle w:val="TextBody"/>
        <w:bidi w:val="0"/>
        <w:spacing w:before="0" w:after="120"/>
        <w:jc w:val="center"/>
        <w:rPr/>
      </w:pPr>
      <w:r>
        <w:rPr/>
      </w:r>
    </w:p>
    <w:p>
      <w:pPr>
        <w:pStyle w:val="TextBody"/>
        <w:bidi w:val="0"/>
        <w:spacing w:lineRule="auto" w:line="345" w:before="0" w:after="120"/>
        <w:jc w:val="center"/>
        <w:rPr>
          <w:rFonts w:ascii="Arial;sans-serif" w:hAnsi="Arial;sans-serif"/>
          <w:b/>
          <w:color w:val="000000"/>
          <w:sz w:val="26"/>
        </w:rPr>
      </w:pPr>
      <w:r>
        <w:rPr>
          <w:rFonts w:ascii="Arial;sans-serif" w:hAnsi="Arial;sans-serif"/>
          <w:b/>
          <w:color w:val="000000"/>
          <w:sz w:val="26"/>
        </w:rPr>
        <w:t>AB Announces August 31, 2026 Assets Under Management</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Nashville, TN, September 10, 2026 - AllianceBernstein L.P. (“AB”) and AllianceBernstein Holding L.P. (“AB Holding”) (NYSE: AB) today announced that preliminary assets under management increased to $919 billion as of August 31, 2026, from $908 billion at the end of July. The 1.2% increase in AUM was driven by market appreciation, partially offset by net outflows. By channel, Institutional and Private Wealth generated net inflows, which were offset by net outflows in Retail. </w:t>
      </w:r>
    </w:p>
    <w:tbl>
      <w:tblPr>
        <w:tblW w:w="10205" w:type="dxa"/>
        <w:jc w:val="center"/>
        <w:tblInd w:w="0" w:type="dxa"/>
        <w:tblLayout w:type="fixed"/>
        <w:tblCellMar>
          <w:top w:w="28" w:type="dxa"/>
          <w:left w:w="28" w:type="dxa"/>
          <w:bottom w:w="28" w:type="dxa"/>
          <w:right w:w="28" w:type="dxa"/>
        </w:tblCellMar>
      </w:tblPr>
      <w:tblGrid>
        <w:gridCol w:w="1221"/>
        <w:gridCol w:w="1060"/>
        <w:gridCol w:w="1077"/>
        <w:gridCol w:w="128"/>
        <w:gridCol w:w="128"/>
        <w:gridCol w:w="128"/>
        <w:gridCol w:w="140"/>
        <w:gridCol w:w="140"/>
        <w:gridCol w:w="141"/>
        <w:gridCol w:w="128"/>
        <w:gridCol w:w="128"/>
        <w:gridCol w:w="132"/>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55"/>
      </w:tblGrid>
      <w:tr>
        <w:trPr/>
        <w:tc>
          <w:tcPr>
            <w:tcW w:w="122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AllianceBernstein L.P. (The Operating Partnership)</w:t>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Assets Under Management ($ in Billions)</w:t>
            </w:r>
          </w:p>
        </w:tc>
      </w:tr>
      <w:tr>
        <w:trPr/>
        <w:tc>
          <w:tcPr>
            <w:tcW w:w="10205" w:type="dxa"/>
            <w:gridSpan w:val="60"/>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At 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Jul 31,</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Private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Institutions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Wealth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Total</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Equity</w:t>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Actively Managed</w:t>
            </w:r>
          </w:p>
        </w:tc>
        <w:tc>
          <w:tcPr>
            <w:tcW w:w="38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271</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Passive</w:t>
            </w:r>
          </w:p>
        </w:tc>
        <w:tc>
          <w:tcPr>
            <w:tcW w:w="80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88</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 Equity</w:t>
            </w:r>
          </w:p>
        </w:tc>
        <w:tc>
          <w:tcPr>
            <w:tcW w:w="8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82</w:t>
            </w:r>
          </w:p>
        </w:tc>
        <w:tc>
          <w:tcPr>
            <w:tcW w:w="38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359</w:t>
            </w:r>
          </w:p>
        </w:tc>
        <w:tc>
          <w:tcPr>
            <w:tcW w:w="3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Fixed Income</w:t>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Taxable</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121</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Tax-Exempt</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Passive</w:t>
            </w:r>
          </w:p>
        </w:tc>
        <w:tc>
          <w:tcPr>
            <w:tcW w:w="664"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 Fixed Income</w:t>
            </w:r>
          </w:p>
        </w:tc>
        <w:tc>
          <w:tcPr>
            <w:tcW w:w="8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123</w:t>
            </w:r>
          </w:p>
        </w:tc>
        <w:tc>
          <w:tcPr>
            <w:tcW w:w="38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320</w:t>
            </w:r>
          </w:p>
        </w:tc>
        <w:tc>
          <w:tcPr>
            <w:tcW w:w="3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color w:val="000000"/>
                <w:sz w:val="20"/>
              </w:rPr>
              <w:t>Alternatives/Multi-Asset Solutions</w:t>
            </w:r>
            <w:r>
              <w:rPr>
                <w:rFonts w:ascii="Arial;sans-serif" w:hAnsi="Arial;sans-serif"/>
                <w:b/>
                <w:color w:val="000000"/>
                <w:sz w:val="13"/>
              </w:rPr>
              <w:t>(1)</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183</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229</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w:t>
            </w:r>
          </w:p>
        </w:tc>
        <w:tc>
          <w:tcPr>
            <w:tcW w:w="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388</w:t>
            </w:r>
          </w:p>
        </w:tc>
        <w:tc>
          <w:tcPr>
            <w:tcW w:w="388"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362</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169</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919</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908</w:t>
            </w:r>
          </w:p>
        </w:tc>
        <w:tc>
          <w:tcPr>
            <w:tcW w:w="37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At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w:t>
            </w:r>
          </w:p>
        </w:tc>
        <w:tc>
          <w:tcPr>
            <w:tcW w:w="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382</w:t>
            </w:r>
          </w:p>
        </w:tc>
        <w:tc>
          <w:tcPr>
            <w:tcW w:w="388"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360</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166</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908</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8"/>
              </w:rPr>
              <w:t>Includes certain multi-asset solutions and services not included in equity or fixed income services.</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1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2</w:t>
                      </w:r>
                    </w:p>
                  </w:txbxContent>
                </v:textbox>
                <w10:wrap type="none"/>
              </v:rect>
            </w:pict>
          </mc:Fallback>
        </mc:AlternateContent>
      </w:r>
    </w:p>
    <w:p>
      <w:pPr>
        <w:pStyle w:val="TextBody"/>
        <w:bidi w:val="0"/>
        <w:spacing w:lineRule="auto" w:line="345" w:before="0" w:after="100"/>
        <w:jc w:val="left"/>
        <w:rPr>
          <w:rFonts w:ascii="Arial;sans-serif" w:hAnsi="Arial;sans-serif"/>
          <w:b/>
          <w:color w:val="000000"/>
          <w:sz w:val="20"/>
        </w:rPr>
      </w:pPr>
      <w:r>
        <w:rPr>
          <w:rFonts w:ascii="Arial;sans-serif" w:hAnsi="Arial;sans-serif"/>
          <w:b/>
          <w:color w:val="000000"/>
          <w:sz w:val="20"/>
        </w:rPr>
        <w:t>Cautions Regarding Forward-Looking Statements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Certain statements provided by management in this news release are “forward-looking statements” within the meaning of the Private Securities Litigation Reform Act of 1995. Such forward-looking statements are subject to risks, uncertainties and other factors that could cause actual results to differ materially from future results expressed or implied by such forward-looking statements. The most significant of these factors include, but are not limited to, the following: the performance of financial markets, the investment performance of sponsored investment products and separately-managed accounts, general economic conditions, industry trends, future acquisitions, integration of acquired companies, competitive conditions, and government regulations, including changes in tax regulations and rates and the manner in which the earnings of publicly-traded partnerships are taxed. AB cautions readers to carefully consider such factors. Further, such forward-looking statements speak only as of the date on which such statements are made; AB undertakes no obligation to update any forward-looking statements to reflect events or circumstances after the date of such statements. For further information regarding these forward-looking statements and the factors that could cause actual results to differ, see “Risk Factors” and “Cautions Regarding Forward-Looking Statements” in AB’s Form 10-K for the year ended December 31, 2025 or form 10-Q for the quarter ended June 30, 2026. Any or all of the forward-looking statements made in this news release, Form 10-K, Form 10-Q, other documents AB files with or furnishes to the SEC and any other public statements issued by AB, may turn out to be wrong. It is important to remember that other factors besides those listed in “Risk Factors” and “Cautions Regarding Forward-Looking Statements”, and those listed above, could also adversely affect AB’s financial condition, results of operations and business prospects.</w:t>
      </w:r>
    </w:p>
    <w:p>
      <w:pPr>
        <w:pStyle w:val="TextBody"/>
        <w:bidi w:val="0"/>
        <w:spacing w:lineRule="auto" w:line="324" w:before="0" w:after="180"/>
        <w:jc w:val="left"/>
        <w:rPr>
          <w:rFonts w:ascii="Arial;sans-serif" w:hAnsi="Arial;sans-serif"/>
          <w:b/>
          <w:color w:val="000000"/>
          <w:sz w:val="20"/>
        </w:rPr>
      </w:pPr>
      <w:r>
        <w:rPr>
          <w:rFonts w:ascii="Arial;sans-serif" w:hAnsi="Arial;sans-serif"/>
          <w:b/>
          <w:color w:val="000000"/>
          <w:sz w:val="20"/>
        </w:rPr>
        <w:t>About AllianceBernstein</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AllianceBernstein is a leading global investment management firm that offers diversified investment services to institutional investors, individuals and private wealth clients in major world markets.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As of June 30, 2026, including both the general partnership and limited partnership interests in AllianceBernstein, AllianceBernstein Holding owned approximately 31.3% of AllianceBernstein. Including both the general partnership and limited partnership interest in AllianceBernstein Holding and AllianceBernstein, Equitable Holdings, Inc. ("EQH"), owned an approximate 68.1% economic interest in AllianceBernstein.</w:t>
      </w:r>
    </w:p>
    <w:p>
      <w:pPr>
        <w:pStyle w:val="TextBody"/>
        <w:bidi w:val="0"/>
        <w:spacing w:lineRule="auto" w:line="391" w:before="0" w:after="0"/>
        <w:jc w:val="left"/>
        <w:rPr/>
      </w:pPr>
      <w:r>
        <w:rPr>
          <w:rFonts w:ascii="Arial;sans-serif" w:hAnsi="Arial;sans-serif"/>
          <w:b w:val="false"/>
          <w:color w:val="000000"/>
          <w:sz w:val="20"/>
        </w:rPr>
        <w:t xml:space="preserve">Additional information about AB may be found on our website, </w:t>
      </w:r>
      <w:r>
        <w:rPr>
          <w:rFonts w:ascii="Arial;sans-serif" w:hAnsi="Arial;sans-serif"/>
          <w:b w:val="false"/>
          <w:color w:val="0000FF"/>
          <w:sz w:val="20"/>
          <w:u w:val="single"/>
        </w:rPr>
        <w:t>www.alliancebernstein.com</w:t>
      </w:r>
      <w:r>
        <w:rPr>
          <w:rFonts w:ascii="Arial;sans-serif" w:hAnsi="Arial;sans-serif"/>
          <w:b w:val="false"/>
          <w:color w:val="000000"/>
          <w:sz w:val="20"/>
        </w:rPr>
        <w:t>.</w:t>
      </w:r>
    </w:p>
    <w:p>
      <w:pPr>
        <w:pStyle w:val="TextBody"/>
        <w:bidi w:val="0"/>
        <w:spacing w:before="0" w:after="18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983</Words>
  <Characters>5748</Characters>
  <CharactersWithSpaces>6629</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