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pPr>
      <w:r>
        <w:rPr>
          <w:rFonts w:ascii="Times New Roman;serif" w:hAnsi="Times New Roman;serif"/>
          <w:b/>
          <w:color w:val="000000"/>
          <w:sz w:val="36"/>
        </w:rPr>
        <w:t>FORM</w:t>
      </w:r>
      <w:r>
        <w:rPr>
          <w:color w:val="000000"/>
        </w:rPr>
        <w:t xml:space="preserve"> </w:t>
      </w:r>
      <w:r>
        <w:rPr>
          <w:rFonts w:ascii="Times New Roman;serif" w:hAnsi="Times New Roman;serif"/>
          <w:b/>
          <w:color w:val="000000"/>
          <w:sz w:val="36"/>
        </w:rPr>
        <w:t xml:space="preserve">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001-09818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2447"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2447"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1732"/>
        <w:gridCol w:w="1341"/>
        <w:gridCol w:w="1325"/>
        <w:gridCol w:w="227"/>
        <w:gridCol w:w="227"/>
        <w:gridCol w:w="227"/>
        <w:gridCol w:w="1447"/>
        <w:gridCol w:w="1447"/>
        <w:gridCol w:w="1452"/>
        <w:gridCol w:w="227"/>
        <w:gridCol w:w="227"/>
        <w:gridCol w:w="326"/>
      </w:tblGrid>
      <w:tr>
        <w:trPr/>
        <w:tc>
          <w:tcPr>
            <w:tcW w:w="17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 xml:space="preserve">Large accelerated filer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Accelerated filer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 xml:space="preserve">Non-accelerated filer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Smaller reporting company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Emerging growth company </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2120"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88"/>
        <w:gridCol w:w="1678"/>
        <w:gridCol w:w="1631"/>
        <w:gridCol w:w="109"/>
        <w:gridCol w:w="109"/>
        <w:gridCol w:w="109"/>
        <w:gridCol w:w="419"/>
        <w:gridCol w:w="419"/>
        <w:gridCol w:w="421"/>
        <w:gridCol w:w="109"/>
        <w:gridCol w:w="109"/>
        <w:gridCol w:w="109"/>
        <w:gridCol w:w="873"/>
        <w:gridCol w:w="873"/>
        <w:gridCol w:w="1249"/>
      </w:tblGrid>
      <w:tr>
        <w:trPr/>
        <w:tc>
          <w:tcPr>
            <w:tcW w:w="198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Rep. Assignments of Beneficial Ownership of LP Interests in AB Holding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The number of units representing assignments of beneficial ownership of limited partnership interests outstanding as of June 30, 2026 was 93,075,219.*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*includes 100,000 units of general partnership interest having economic interests equivalent to the economic interests of the units representing assignments of beneficial ownership of limited partnership interests.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Form 10-Q</w:t>
      </w:r>
    </w:p>
    <w:tbl>
      <w:tblPr>
        <w:tblW w:w="8746" w:type="dxa"/>
        <w:jc w:val="left"/>
        <w:tblInd w:w="0" w:type="dxa"/>
        <w:tblLayout w:type="fixed"/>
        <w:tblCellMar>
          <w:top w:w="28" w:type="dxa"/>
          <w:left w:w="28" w:type="dxa"/>
          <w:bottom w:w="28" w:type="dxa"/>
          <w:right w:w="28" w:type="dxa"/>
        </w:tblCellMar>
      </w:tblPr>
      <w:tblGrid>
        <w:gridCol w:w="293"/>
        <w:gridCol w:w="258"/>
        <w:gridCol w:w="259"/>
        <w:gridCol w:w="2450"/>
        <w:gridCol w:w="2450"/>
        <w:gridCol w:w="2465"/>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3">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6">
              <w:r>
                <w:rPr>
                  <w:rStyle w:val="InternetLink"/>
                  <w:rFonts w:ascii="Times New Roman;serif" w:hAnsi="Times New Roman;serif"/>
                  <w:b w:val="false"/>
                  <w:color w:val="0000FF"/>
                  <w:sz w:val="20"/>
                  <w:u w:val="single"/>
                </w:rPr>
                <w:t>Condensed Statements of Financial Condition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6">
              <w:r>
                <w:rPr>
                  <w:rStyle w:val="InternetLink"/>
                  <w:rFonts w:ascii="Times New Roman;serif" w:hAnsi="Times New Roman;serif"/>
                  <w:b w:val="false"/>
                  <w:color w:val="0000FF"/>
                  <w:sz w:val="20"/>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9">
              <w:r>
                <w:rPr>
                  <w:rStyle w:val="InternetLink"/>
                  <w:rFonts w:ascii="Times New Roman;serif" w:hAnsi="Times New Roman;serif"/>
                  <w:b w:val="false"/>
                  <w:color w:val="0000FF"/>
                  <w:sz w:val="20"/>
                  <w:u w:val="single"/>
                </w:rPr>
                <w:t>Condensed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22">
              <w:r>
                <w:rPr>
                  <w:rStyle w:val="InternetLink"/>
                  <w:rFonts w:ascii="Times New Roman;serif" w:hAnsi="Times New Roman;serif"/>
                  <w:b w:val="false"/>
                  <w:color w:val="0000FF"/>
                  <w:sz w:val="20"/>
                  <w:u w:val="single"/>
                </w:rPr>
                <w:t>Condensed Statements of Comprehensive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25">
              <w:r>
                <w:rPr>
                  <w:rStyle w:val="InternetLink"/>
                  <w:rFonts w:ascii="Times New Roman;serif" w:hAnsi="Times New Roman;serif"/>
                  <w:b w:val="false"/>
                  <w:color w:val="0000FF"/>
                  <w:sz w:val="20"/>
                  <w:u w:val="single"/>
                </w:rPr>
                <w:t>Condensed Statements of Changes in Partners' Capital</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28">
              <w:r>
                <w:rPr>
                  <w:rStyle w:val="InternetLink"/>
                  <w:rFonts w:ascii="Times New Roman;serif" w:hAnsi="Times New Roman;serif"/>
                  <w:b w:val="false"/>
                  <w:color w:val="0000FF"/>
                  <w:sz w:val="20"/>
                  <w:u w:val="single"/>
                </w:rPr>
                <w:t>Condensed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28">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31">
              <w:r>
                <w:rPr>
                  <w:rStyle w:val="InternetLink"/>
                  <w:rFonts w:ascii="Times New Roman;serif" w:hAnsi="Times New Roman;serif"/>
                  <w:b w:val="false"/>
                  <w:color w:val="0000FF"/>
                  <w:sz w:val="20"/>
                  <w:u w:val="single"/>
                </w:rPr>
                <w:t>Notes to Condensed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31">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6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61">
              <w:r>
                <w:rPr>
                  <w:rStyle w:val="InternetLink"/>
                  <w:rFonts w:ascii="Times New Roman;serif" w:hAnsi="Times New Roman;serif"/>
                  <w:b w:val="false"/>
                  <w:color w:val="0000FF"/>
                  <w:sz w:val="20"/>
                  <w:u w:val="single"/>
                </w:rPr>
                <w:t>11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8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82">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85">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85">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91">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91">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94">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94">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97">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97">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00">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00">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03">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03">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06">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06">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12">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12">
              <w:r>
                <w:rPr>
                  <w:rStyle w:val="InternetLink"/>
                  <w:rFonts w:ascii="Times New Roman;serif" w:hAnsi="Times New Roman;serif"/>
                  <w:b w:val="false"/>
                  <w:color w:val="0000FF"/>
                  <w:sz w:val="20"/>
                  <w:u w:val="single"/>
                </w:rPr>
                <w:t>17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1bd06c21e74056a468f598f2e3f95a_115">
              <w:r>
                <w:rPr>
                  <w:rStyle w:val="InternetLink"/>
                  <w:rFonts w:ascii="Times New Roman;serif" w:hAnsi="Times New Roman;serif"/>
                  <w:b w:val="false"/>
                  <w:color w:val="0000FF"/>
                  <w:sz w:val="20"/>
                  <w:u w:val="single"/>
                </w:rPr>
                <w:t>SIGNATURE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b1bd06c21e74056a468f598f2e3f95a_115">
              <w:r>
                <w:rPr>
                  <w:rStyle w:val="InternetLink"/>
                  <w:rFonts w:ascii="Times New Roman;serif" w:hAnsi="Times New Roman;serif"/>
                  <w:b w:val="false"/>
                  <w:color w:val="0000FF"/>
                  <w:sz w:val="20"/>
                  <w:u w:val="single"/>
                </w:rPr>
                <w:t>18</w:t>
              </w:r>
            </w:hyperlink>
          </w:p>
        </w:tc>
      </w:tr>
    </w:tbl>
    <w:p>
      <w:pPr>
        <w:pStyle w:val="TextBody"/>
        <w:bidi w:val="0"/>
        <w:spacing w:before="1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Part 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    </w:t>
      </w:r>
      <w:r>
        <w:rPr>
          <w:rFonts w:ascii="Times New Roman;serif" w:hAnsi="Times New Roman;serif"/>
          <w:b/>
          <w:color w:val="000000"/>
          <w:sz w:val="20"/>
          <w:u w:val="single"/>
        </w:rPr>
        <w:t>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Financial Condition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11"/>
        <w:gridCol w:w="2298"/>
        <w:gridCol w:w="2300"/>
        <w:gridCol w:w="211"/>
        <w:gridCol w:w="991"/>
        <w:gridCol w:w="109"/>
        <w:gridCol w:w="109"/>
        <w:gridCol w:w="109"/>
        <w:gridCol w:w="109"/>
        <w:gridCol w:w="211"/>
        <w:gridCol w:w="991"/>
        <w:gridCol w:w="156"/>
      </w:tblGrid>
      <w:tr>
        <w:trPr/>
        <w:tc>
          <w:tcPr>
            <w:tcW w:w="261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AB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1,240,042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r>
              <w:rPr>
                <w:rFonts w:ascii="Times New Roman;serif" w:hAnsi="Times New Roman;serif"/>
                <w:b w:val="false"/>
                <w:i/>
                <w:color w:val="000000"/>
                <w:sz w:val="20"/>
              </w:rPr>
              <w:t>See Note 8</w:t>
            </w:r>
            <w:r>
              <w:rPr>
                <w:rFonts w:ascii="Times New Roman;serif" w:hAnsi="Times New Roman;serif"/>
                <w:b w:val="false"/>
                <w:color w:val="000000"/>
                <w:sz w:val="20"/>
              </w:rPr>
              <w:t>)</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 100,000 general partnership units issued and outstanding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 92,975,219 and 92,184,367 limited partnership units issued and outstanding</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held by AB for long-term incentive compensation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1,245,166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1,238,378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1,240,042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HOLDING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33"/>
        <w:gridCol w:w="1349"/>
        <w:gridCol w:w="1357"/>
        <w:gridCol w:w="109"/>
        <w:gridCol w:w="109"/>
        <w:gridCol w:w="109"/>
        <w:gridCol w:w="226"/>
        <w:gridCol w:w="790"/>
        <w:gridCol w:w="116"/>
        <w:gridCol w:w="116"/>
        <w:gridCol w:w="116"/>
        <w:gridCol w:w="116"/>
        <w:gridCol w:w="226"/>
        <w:gridCol w:w="790"/>
        <w:gridCol w:w="116"/>
        <w:gridCol w:w="109"/>
        <w:gridCol w:w="109"/>
        <w:gridCol w:w="109"/>
        <w:gridCol w:w="211"/>
        <w:gridCol w:w="841"/>
        <w:gridCol w:w="109"/>
        <w:gridCol w:w="109"/>
        <w:gridCol w:w="109"/>
        <w:gridCol w:w="109"/>
        <w:gridCol w:w="211"/>
        <w:gridCol w:w="841"/>
        <w:gridCol w:w="160"/>
      </w:tblGrid>
      <w:tr>
        <w:trPr/>
        <w:tc>
          <w:tcPr>
            <w:tcW w:w="153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71,717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70,248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144,282</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0.77</w:t>
            </w:r>
            <w:r>
              <w:rPr>
                <w:color w:val="000000"/>
              </w:rPr>
              <w:t> </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0.64</w:t>
            </w:r>
            <w:r>
              <w:rPr>
                <w:color w:val="000000"/>
              </w:rPr>
              <w:t> </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17"/>
        <w:gridCol w:w="1463"/>
        <w:gridCol w:w="1477"/>
        <w:gridCol w:w="218"/>
        <w:gridCol w:w="762"/>
        <w:gridCol w:w="112"/>
        <w:gridCol w:w="112"/>
        <w:gridCol w:w="112"/>
        <w:gridCol w:w="112"/>
        <w:gridCol w:w="218"/>
        <w:gridCol w:w="762"/>
        <w:gridCol w:w="112"/>
        <w:gridCol w:w="109"/>
        <w:gridCol w:w="109"/>
        <w:gridCol w:w="109"/>
        <w:gridCol w:w="211"/>
        <w:gridCol w:w="841"/>
        <w:gridCol w:w="109"/>
        <w:gridCol w:w="109"/>
        <w:gridCol w:w="109"/>
        <w:gridCol w:w="109"/>
        <w:gridCol w:w="211"/>
        <w:gridCol w:w="841"/>
        <w:gridCol w:w="161"/>
      </w:tblGrid>
      <w:tr>
        <w:trPr/>
        <w:tc>
          <w:tcPr>
            <w:tcW w:w="171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before tax</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(losses) included in net income upon retirement plan liquidation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related items, net of tax</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71,584</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166,832</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Partners’ Capital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11"/>
        <w:gridCol w:w="1156"/>
        <w:gridCol w:w="1166"/>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6"/>
      </w:tblGrid>
      <w:tr>
        <w:trPr/>
        <w:tc>
          <w:tcPr>
            <w:tcW w:w="16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Partner’s Capital</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Limited Partners’ Capital</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1,316,715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2,058,858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1,277,569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2,095,248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AB Holding Units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AB Holding Units for long-term incentive compensation plan awards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2,034,533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2,034,533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 Holding Units held by AB for long-term incentive compensation plans</w:t>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AB Holding Units held by AB for long-term incentive compensation plans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(35,382)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 net of tax</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1,245,166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1,981,623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1,245,166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1,981,623</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413" w:type="dxa"/>
        <w:jc w:val="left"/>
        <w:tblInd w:w="0" w:type="dxa"/>
        <w:tblLayout w:type="fixed"/>
        <w:tblCellMar>
          <w:top w:w="28" w:type="dxa"/>
          <w:left w:w="28" w:type="dxa"/>
          <w:bottom w:w="28" w:type="dxa"/>
          <w:right w:w="28" w:type="dxa"/>
        </w:tblCellMar>
      </w:tblPr>
      <w:tblGrid>
        <w:gridCol w:w="2431"/>
        <w:gridCol w:w="2141"/>
        <w:gridCol w:w="2147"/>
        <w:gridCol w:w="211"/>
        <w:gridCol w:w="841"/>
        <w:gridCol w:w="109"/>
        <w:gridCol w:w="109"/>
        <w:gridCol w:w="109"/>
        <w:gridCol w:w="109"/>
        <w:gridCol w:w="211"/>
        <w:gridCol w:w="841"/>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received from AB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203,922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AB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(203,922)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ALLIANCEBERNSTEIN HOLDING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words “we” and “our” refer collectively to AllianceBernstein Holding L.P. (“AB Holding”) and AllianceBernstein L.P.  and its subsidiaries (“AB”), or to their officers and employees. Similarly, the word “company” refers to both AB Holding and AB. Where the context requires distinguishing between AB Holding and AB, we identify which of them is being discussed. These statements should be read in conjunction with the audited consolidated financial statements included in the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Business Description, Organization and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Holding’s principal source of income and cash flow is attributable to its investment in AB limited partnership interests. The condensed financial statements and notes of AB Holding should be read in conjunction with the condensed consolidated financial statements and notes of AB included as an exhibit to this quarterly report on Form 10-Q and with AB Holding’s and AB’s audited financial statements included in AB Holding’s Form 10-K for the year ended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provides diversified investment management and related services globally to a broad range of clients. Its principal services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Institutional Services </w:t>
      </w:r>
      <w:r>
        <w:rPr>
          <w:color w:val="000000"/>
        </w:rPr>
        <w:t xml:space="preserve">– </w:t>
      </w:r>
      <w:r>
        <w:rPr>
          <w:rFonts w:ascii="Times New Roman;serif" w:hAnsi="Times New Roman;serif"/>
          <w:b w:val="false"/>
          <w:color w:val="000000"/>
          <w:sz w:val="20"/>
        </w:rPr>
        <w:t>servicing its institutional clients, including private and public pension plans, foundations and endowments, insurance companies, central banks and governments worldwide, and affiliates such as Equitable Holdings, Inc. ("EQH") and its subsidiaries, by means of separately managed accounts, sub-advisory relationships, structured products, collective investment trusts, mutual funds, hedge funds and other investment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Retail Services</w:t>
      </w:r>
      <w:r>
        <w:rPr>
          <w:color w:val="000000"/>
        </w:rPr>
        <w:t xml:space="preserve"> – </w:t>
      </w:r>
      <w:r>
        <w:rPr>
          <w:rFonts w:ascii="Times New Roman;serif" w:hAnsi="Times New Roman;serif"/>
          <w:b w:val="false"/>
          <w:color w:val="000000"/>
          <w:sz w:val="20"/>
        </w:rPr>
        <w:t>servicing its retail clients, primarily by means of retail mutual funds sponsored by AB or an affiliated company, sub-advisory relationships with mutual funds sponsored by third parties, separately managed account programs sponsored by financial intermediaries worldwide and other investment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Private Wealth Management</w:t>
      </w:r>
      <w:r>
        <w:rPr>
          <w:color w:val="000000"/>
        </w:rPr>
        <w:t xml:space="preserve"> – </w:t>
      </w:r>
      <w:r>
        <w:rPr>
          <w:rFonts w:ascii="Times New Roman;serif" w:hAnsi="Times New Roman;serif"/>
          <w:b w:val="false"/>
          <w:color w:val="000000"/>
          <w:sz w:val="20"/>
        </w:rPr>
        <w:t>servicing its private clients, including high-net-worth individuals and families, trusts and estates, charitable foundations, partnerships, private and family corporations, and other entities, by means of separately managed accounts, hedge funds, mutual funds and other investment vehicles.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also provides distribution, shareholder servicing, transfer agency services and administrative services to certain of the mutual funds it sponsors.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AB’s high-quality, in-depth research is the foundation of our asset management and private wealth management businesses. AB’s research disciplines include economic, equity, fixed income and quantitative research. In addition, AB has expertise in multi-asset strategies, wealth management, environmental, social and corporate governance ("ESG"), and alternative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 provides a broad range of investment services with expertise in:</w:t>
      </w:r>
    </w:p>
    <w:p>
      <w:pPr>
        <w:pStyle w:val="TextBody"/>
        <w:bidi w:val="0"/>
        <w:spacing w:before="120" w:after="283"/>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Equities,</w:t>
      </w:r>
      <w:r>
        <w:rPr>
          <w:color w:val="000000"/>
        </w:rPr>
        <w:t xml:space="preserve"> </w:t>
      </w:r>
      <w:r>
        <w:rPr>
          <w:rFonts w:ascii="Times New Roman;serif" w:hAnsi="Times New Roman;serif"/>
          <w:b w:val="false"/>
          <w:color w:val="000000"/>
          <w:sz w:val="20"/>
        </w:rPr>
        <w:t>including actively managed strategies across global and regional markets and capitalization ranges, spanning growth, value, core, defensive, thematic, and sustainable approaches, with varying degrees of active risk, concentration, and benchmark sensitivity;</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Fixed Income</w:t>
      </w:r>
      <w:r>
        <w:rPr>
          <w:rFonts w:ascii="Times New Roman;serif" w:hAnsi="Times New Roman;serif"/>
          <w:b w:val="false"/>
          <w:color w:val="000000"/>
          <w:sz w:val="20"/>
        </w:rPr>
        <w:t>, including actively managed traditional and unconstrained strategies across taxable and tax-exempt markets, encompassing government, corporate, securitized, emerging market, and municipal securities, with a focus on income generation, risk management, liquidity, and diversification;</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Multi-Asset Solutions</w:t>
      </w:r>
      <w:r>
        <w:rPr>
          <w:rFonts w:ascii="Times New Roman;serif" w:hAnsi="Times New Roman;serif"/>
          <w:b w:val="false"/>
          <w:color w:val="000000"/>
          <w:sz w:val="20"/>
        </w:rPr>
        <w:t>, including outcome-oriented and asset-allocation strategies such as target-date, target-risk, income, and total-return portfolios, as well as customized multi-asset solutions designed to meet specific client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Hedge Fund Strategies</w:t>
      </w:r>
      <w:r>
        <w:rPr>
          <w:rFonts w:ascii="Times New Roman;serif" w:hAnsi="Times New Roman;serif"/>
          <w:b w:val="false"/>
          <w:color w:val="000000"/>
          <w:sz w:val="20"/>
        </w:rPr>
        <w:t>, including fundamental and systematic hedge funds, equity market neutral, event-driven, macro, and fund-of-funds strategies, focused on delivering diversified, idiosyncratic return streams with controlled market exposure;</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Private Alternatives</w:t>
      </w:r>
      <w:r>
        <w:rPr>
          <w:rFonts w:ascii="Times New Roman;serif" w:hAnsi="Times New Roman;serif"/>
          <w:b w:val="false"/>
          <w:color w:val="000000"/>
          <w:sz w:val="20"/>
        </w:rPr>
        <w:t>, including private credit, asset-based finance, real assets, real estate debt, and specialty finance strategies, where returns are driven by underwriting discipline, structure, selectivity, and active portfolio management rather than public market beta; and</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Systematic Strategies</w:t>
      </w:r>
      <w:r>
        <w:rPr>
          <w:rFonts w:ascii="Times New Roman;serif" w:hAnsi="Times New Roman;serif"/>
          <w:b w:val="false"/>
          <w:color w:val="000000"/>
          <w:sz w:val="20"/>
        </w:rPr>
        <w:t>, including alpha-seeking and risk-controlled approaches that apply quantitative research, data-driven signals, and disciplined portfolio construction across equity and fixed income markets, as well as passive index, ESG index, and enhanced index solutions designed to provide efficient market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AllianceBernstein Corporation (an indirect wholly-owned subsidiary of EQH, “General Partner”) is the general partner of both AB Holding and AB. AllianceBernstein Corporation owns 100,000 general partnership units in AB Holding and a 1.0% general partnership interest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ownership structure of AB, expressed as a percentage of general and limited partnership interests, was as follows:</w:t>
      </w:r>
    </w:p>
    <w:tbl>
      <w:tblPr>
        <w:tblW w:w="3031" w:type="dxa"/>
        <w:jc w:val="left"/>
        <w:tblInd w:w="0" w:type="dxa"/>
        <w:tblLayout w:type="fixed"/>
        <w:tblCellMar>
          <w:top w:w="28" w:type="dxa"/>
          <w:left w:w="28" w:type="dxa"/>
          <w:bottom w:w="28" w:type="dxa"/>
          <w:right w:w="28" w:type="dxa"/>
        </w:tblCellMar>
      </w:tblPr>
      <w:tblGrid>
        <w:gridCol w:w="759"/>
        <w:gridCol w:w="668"/>
        <w:gridCol w:w="672"/>
        <w:gridCol w:w="307"/>
        <w:gridCol w:w="309"/>
        <w:gridCol w:w="31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and its subsidiaries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Unaffiliated holders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both the general partnership and limited partnership interests in AB Holding and AB, EQH and its subsidiaries had an approximate 68.1% economic interest in AB as of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interim condensed financial statements have been prepared in accordance with the instructions to Form 10-Q pursuant to the rules and regulations of the U.S. Securities and Exchange Commission (“SEC”). In the opinion of management, all adjustments, consisting only of normal recurring adjustments, necessary for a fair statement of the interim results, have been made. The preparation of the condensed financial statements requires management to make certain estimates and assumptions that affect the reported amounts of assets and liabilities and disclosure of contingent assets and liabilities at the dates of the condensed financial statements and the reported amounts of revenues and expenses during the interim reporting periods. Actual results could differ from those estimates. The condensed statement of financial condition as of December 31, 2025 was derived from audited financial statements. Certain disclosures included in the annual financial statements have been condensed or omitted from these financial statements as they are not required for interim financial statements under principles generally accepted in the United States of America ("GAAP") and the rules of the SEC.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records its investment in AB using the equity method of accounting. AB Holding’s investment is increased to reflect its proportionate share of income of AB and decreased to reflect its proportionate share of losses of AB and cash distributions made by AB to its Unitholders. In addition, AB Holding's investment is adjusted to reflect its proportionate share of certain capital transactions of AB.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these financial statements were filed with the SEC and did not identify any subsequent events that would require disclosure in these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    Cash Distributions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 is required to distribute all of its Available Cash Flow, as defined in the Amended and Restated Agreement of Limited Partnership of AB Holding (“AB Holding Partnership Agreement”), to its Unitholders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in accordance with their percentage interests in AB Holding. Available Cash Flow is defined as the cash distributions AB Holding receives from AB minus such amounts as the General Partner determines, in its sole discretion, should be retained by AB Holding for use in its business (such as the payment of taxes) or plus such amounts as the General Partner determines, in its sole discretion, should be released from previously retained cash flow.</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the General Partner declared a distribution of $0.82 per Unit, representing a distribution of Available Cash Flow for the three months ended June 30, 2026. Each general partnership unit in AB Holding is entitled to receive distributions equal to those received by each AB Holding Unit. The distribution is payable on August 27, 2026 to holders of record at the close of business on August 12,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3.    Long-term Incentive Compensation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maintains several unfunded, non-qualified long-term incentive compensation plans, under which the company grants awards of restricted AB Holding Units to its employees and members of the Board of Directors, who are not employed by AB or by any of AB’s affiliates (“Eligible Directors”).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Units are maintained in a consolidated rabbi trust either by purchasing AB Holding Units on the open market or by purchasing newly-issued AB Holding Units from AB Holding until delivering them or retiring them. In accordance with the Amended and Restated Agreement of Limited Partnership of AB (“AB Partnership Agreement”), when AB purchases newly-issued AB Holding Units from AB Holding, AB Holding is required to use the proceeds it receives from AB to purchase the equivalent number of newly-issued AB Units, thus increasing its percentage ownership interest in AB. AB Holding Units held in the consolidated rabbi trust are corporate assets in the name of the trust and are available to the general creditors of AB.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AB Holding Units for the three and six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699"/>
        <w:gridCol w:w="1494"/>
        <w:gridCol w:w="1504"/>
        <w:gridCol w:w="109"/>
        <w:gridCol w:w="109"/>
        <w:gridCol w:w="109"/>
        <w:gridCol w:w="265"/>
        <w:gridCol w:w="643"/>
        <w:gridCol w:w="136"/>
        <w:gridCol w:w="136"/>
        <w:gridCol w:w="136"/>
        <w:gridCol w:w="136"/>
        <w:gridCol w:w="265"/>
        <w:gridCol w:w="643"/>
        <w:gridCol w:w="136"/>
        <w:gridCol w:w="109"/>
        <w:gridCol w:w="109"/>
        <w:gridCol w:w="109"/>
        <w:gridCol w:w="244"/>
        <w:gridCol w:w="591"/>
        <w:gridCol w:w="126"/>
        <w:gridCol w:w="126"/>
        <w:gridCol w:w="126"/>
        <w:gridCol w:w="126"/>
        <w:gridCol w:w="244"/>
        <w:gridCol w:w="591"/>
        <w:gridCol w:w="184"/>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amount of AB Holding Units Purchased/Retained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AB Holding Units Purchased/Retained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Open Market Purchases of AB Holding Units Purchased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Open Market Purchases of AB Holding Units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quarter, AB considers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selected by AB has the authority under the terms and limitations specified in the plan to repurchase AB Holding Units on AB’s behalf. Repurchases are subject to regulations promulgated by the SEC as well as certain price, market volume and timing constraints specified in the plan. The plan adopted during the second quarter of 2026 expired at the close of business on July 27, 2026. AB may adopt additional plans in the future to engage in open-market purchases of AB Holding Units for anticipated obligations under its incentive compensation award program and for other corporate purposes.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and 2025, AB awarded to employees and Eligible Directors 1.6 million and 1.2 million restricted AB Holding Unit awards, respectively. AB used AB Holding Units repurchased during the applicable period and newly-issued AB Holding Units for these restricted AB Holding Unit awards.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4.    Net Income per Unit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per Unit is derived by dividing net income by the weighted average number of Units outstanding for each period. Diluted net income per Unit is equivalent to net income per Unit, as there are no outstanding instruments that have a dilutive effect.</w:t>
      </w:r>
    </w:p>
    <w:tbl>
      <w:tblPr>
        <w:tblW w:w="8997" w:type="dxa"/>
        <w:jc w:val="left"/>
        <w:tblInd w:w="0" w:type="dxa"/>
        <w:tblLayout w:type="fixed"/>
        <w:tblCellMar>
          <w:top w:w="28" w:type="dxa"/>
          <w:left w:w="28" w:type="dxa"/>
          <w:bottom w:w="28" w:type="dxa"/>
          <w:right w:w="28" w:type="dxa"/>
        </w:tblCellMar>
      </w:tblPr>
      <w:tblGrid>
        <w:gridCol w:w="1105"/>
        <w:gridCol w:w="971"/>
        <w:gridCol w:w="983"/>
        <w:gridCol w:w="109"/>
        <w:gridCol w:w="109"/>
        <w:gridCol w:w="10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0.77</w:t>
            </w:r>
            <w:r>
              <w:rPr>
                <w:color w:val="000000"/>
              </w:rPr>
              <w:t>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0.64</w:t>
            </w:r>
            <w:r>
              <w:rPr>
                <w:color w:val="000000"/>
              </w:rPr>
              <w:t>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Investment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AB Holding’s investment in AB during the six-month period ended June 30, 2026 are as follows (in thousands):</w:t>
      </w:r>
    </w:p>
    <w:p>
      <w:pPr>
        <w:pStyle w:val="TextBody"/>
        <w:bidi w:val="0"/>
        <w:spacing w:before="0" w:after="0"/>
        <w:jc w:val="both"/>
        <w:rPr/>
      </w:pPr>
      <w:r>
        <w:rPr/>
      </w:r>
    </w:p>
    <w:tbl>
      <w:tblPr>
        <w:tblW w:w="8390" w:type="dxa"/>
        <w:jc w:val="left"/>
        <w:tblInd w:w="0" w:type="dxa"/>
        <w:tblLayout w:type="fixed"/>
        <w:tblCellMar>
          <w:top w:w="28" w:type="dxa"/>
          <w:left w:w="28" w:type="dxa"/>
          <w:bottom w:w="28" w:type="dxa"/>
          <w:right w:w="28" w:type="dxa"/>
        </w:tblCellMar>
      </w:tblPr>
      <w:tblGrid>
        <w:gridCol w:w="2549"/>
        <w:gridCol w:w="2240"/>
        <w:gridCol w:w="2245"/>
        <w:gridCol w:w="211"/>
        <w:gridCol w:w="991"/>
        <w:gridCol w:w="154"/>
      </w:tblGrid>
      <w:tr>
        <w:trPr/>
        <w:tc>
          <w:tcPr>
            <w:tcW w:w="254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AB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received (from) AB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AB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(retired)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issued for long-term incentive compensation plans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AB Holding Units held by AB for long-term incentive compensation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 AB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1,246,148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Units Outstanding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AB Holding Units outstanding during the six-month period ended June 30, 2026 are as follows:</w:t>
      </w:r>
    </w:p>
    <w:p>
      <w:pPr>
        <w:pStyle w:val="TextBody"/>
        <w:bidi w:val="0"/>
        <w:spacing w:before="0" w:after="0"/>
        <w:jc w:val="left"/>
        <w:rPr/>
      </w:pPr>
      <w:r>
        <w:rPr/>
      </w:r>
    </w:p>
    <w:tbl>
      <w:tblPr>
        <w:tblW w:w="4415" w:type="dxa"/>
        <w:jc w:val="left"/>
        <w:tblInd w:w="0" w:type="dxa"/>
        <w:tblLayout w:type="fixed"/>
        <w:tblCellMar>
          <w:top w:w="28" w:type="dxa"/>
          <w:left w:w="28" w:type="dxa"/>
          <w:bottom w:w="28" w:type="dxa"/>
          <w:right w:w="28" w:type="dxa"/>
        </w:tblCellMar>
      </w:tblPr>
      <w:tblGrid>
        <w:gridCol w:w="1147"/>
        <w:gridCol w:w="1006"/>
        <w:gridCol w:w="1012"/>
        <w:gridCol w:w="547"/>
        <w:gridCol w:w="54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92,284,367 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retired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93,075,219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Holding is a publicly-traded partnership ("PTP") for federal tax purposes and, accordingly, is not subject to federal or state corporate income taxes. However, AB Holding is subject to the 4.0% New York City Unincorporated Business Tax (“UBT”), net of credits for UBT paid by AB, and to a 3.5% federal tax on partnership gross income from the active conduct of a trade or business. AB Holding’s partnership gross income is derived from its interest in AB.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Holding’s federal income tax is computed by multiplying certain AB qualifying revenues by AB Holding’s ownership interest in AB, multiplied by the 3.5% tax rate. Certain AB qualifying revenues are primarily U.S. investment advisory fees. AB Holding Units in AB’s consolidated rabbi trust are not considered outstanding for purposes of calculating AB Holding’s ownership interest in 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tbl>
      <w:tblPr>
        <w:tblW w:w="11423" w:type="dxa"/>
        <w:jc w:val="left"/>
        <w:tblInd w:w="0" w:type="dxa"/>
        <w:tblLayout w:type="fixed"/>
        <w:tblCellMar>
          <w:top w:w="28" w:type="dxa"/>
          <w:left w:w="28" w:type="dxa"/>
          <w:bottom w:w="28" w:type="dxa"/>
          <w:right w:w="28" w:type="dxa"/>
        </w:tblCellMar>
      </w:tblPr>
      <w:tblGrid>
        <w:gridCol w:w="916"/>
        <w:gridCol w:w="344"/>
        <w:gridCol w:w="346"/>
        <w:gridCol w:w="109"/>
        <w:gridCol w:w="109"/>
        <w:gridCol w:w="109"/>
        <w:gridCol w:w="211"/>
        <w:gridCol w:w="826"/>
        <w:gridCol w:w="301"/>
        <w:gridCol w:w="109"/>
        <w:gridCol w:w="109"/>
        <w:gridCol w:w="109"/>
        <w:gridCol w:w="211"/>
        <w:gridCol w:w="826"/>
        <w:gridCol w:w="301"/>
        <w:gridCol w:w="109"/>
        <w:gridCol w:w="109"/>
        <w:gridCol w:w="109"/>
        <w:gridCol w:w="233"/>
        <w:gridCol w:w="233"/>
        <w:gridCol w:w="575"/>
        <w:gridCol w:w="109"/>
        <w:gridCol w:w="109"/>
        <w:gridCol w:w="109"/>
        <w:gridCol w:w="211"/>
        <w:gridCol w:w="976"/>
        <w:gridCol w:w="301"/>
        <w:gridCol w:w="109"/>
        <w:gridCol w:w="109"/>
        <w:gridCol w:w="109"/>
        <w:gridCol w:w="211"/>
        <w:gridCol w:w="976"/>
        <w:gridCol w:w="301"/>
        <w:gridCol w:w="109"/>
        <w:gridCol w:w="109"/>
        <w:gridCol w:w="109"/>
        <w:gridCol w:w="263"/>
        <w:gridCol w:w="263"/>
        <w:gridCol w:w="636"/>
      </w:tblGrid>
      <w:tr>
        <w:trPr/>
        <w:tc>
          <w:tcPr>
            <w:tcW w:w="9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Multiplied by: weighted average equity ownership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qualifying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711,826 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1,540,569 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1,412,596 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Multiplied by: weighted average equity ownership interest for calculating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Multiplied by: federal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15,297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17,301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preserve AB Holding’s status as a PTP for federal income tax purposes, management ensures that AB Holding does not directly or indirectly (through AB) enter into a substantial new line of business. If AB Holding were to lose or surrender its status as a PTP, it would be subject to corporate income tax, which would reduce materially AB Holding’s net income and its quarterly distributions to AB Holding Unitholders.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Legal and regulatory matters described below pertain to AB and are included here due to their potential significance to AB Holding’s investment in AB.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significant litigation matters, we assess the likelihood of a negative outcome. If a negative outcome is probable and the loss can be reasonably estimated, we record an estimated loss. If a negative outcome is reasonably possible and we can estimate the potential loss or range of loss, or if a negative outcome is probable and we can estimate the potential loss or range of loss beyond any amounts already accrued, we disclose this information. However, predicting outcomes or estimating losses is often challenging due to litigation uncertainties, especially in early stages or complex cases. In such instances, we disclose our inability to predict the outcome or estimate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may face regulatory inquiries, administrative proceedings, and litigation, some alleging significant damages. While it is possible we could incur losses from these matters, we cannot currently estimate such losses or their range. Management, after consulting with legal counsel, believes that the outcome of any individual or combined matters will not materially affect our operations, financial condition, or liquidity. However, due to inherent uncertainties, future developments could potentially have a material adverse effect on our results, financial condition, or liquidity in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color w:val="000000"/>
          <w:sz w:val="20"/>
          <w:u w:val="single"/>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Holding’s principal source of income and cash flow is attributable to its investment in AB Units. AB Holding’s interim condensed financial statements and notes and management’s discussion and analysis of financial condition and results of operations (“MD&amp;A”) should be read in conjunction with those of AB included as an exhibit to this Form 10-Q. They also should be read in conjunction with AB’s audited financial statements and notes and MD&amp;A included in AB Holding’s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Results of Operations</w:t>
      </w:r>
    </w:p>
    <w:tbl>
      <w:tblPr>
        <w:tblW w:w="10507" w:type="dxa"/>
        <w:jc w:val="left"/>
        <w:tblInd w:w="0" w:type="dxa"/>
        <w:tblLayout w:type="fixed"/>
        <w:tblCellMar>
          <w:top w:w="28" w:type="dxa"/>
          <w:left w:w="28" w:type="dxa"/>
          <w:bottom w:w="28" w:type="dxa"/>
          <w:right w:w="28" w:type="dxa"/>
        </w:tblCellMar>
      </w:tblPr>
      <w:tblGrid>
        <w:gridCol w:w="421"/>
        <w:gridCol w:w="344"/>
        <w:gridCol w:w="346"/>
        <w:gridCol w:w="109"/>
        <w:gridCol w:w="109"/>
        <w:gridCol w:w="109"/>
        <w:gridCol w:w="211"/>
        <w:gridCol w:w="826"/>
        <w:gridCol w:w="271"/>
        <w:gridCol w:w="109"/>
        <w:gridCol w:w="109"/>
        <w:gridCol w:w="109"/>
        <w:gridCol w:w="211"/>
        <w:gridCol w:w="826"/>
        <w:gridCol w:w="271"/>
        <w:gridCol w:w="109"/>
        <w:gridCol w:w="109"/>
        <w:gridCol w:w="109"/>
        <w:gridCol w:w="255"/>
        <w:gridCol w:w="256"/>
        <w:gridCol w:w="551"/>
        <w:gridCol w:w="109"/>
        <w:gridCol w:w="109"/>
        <w:gridCol w:w="109"/>
        <w:gridCol w:w="211"/>
        <w:gridCol w:w="826"/>
        <w:gridCol w:w="271"/>
        <w:gridCol w:w="109"/>
        <w:gridCol w:w="109"/>
        <w:gridCol w:w="109"/>
        <w:gridCol w:w="211"/>
        <w:gridCol w:w="826"/>
        <w:gridCol w:w="271"/>
        <w:gridCol w:w="109"/>
        <w:gridCol w:w="109"/>
        <w:gridCol w:w="109"/>
        <w:gridCol w:w="262"/>
        <w:gridCol w:w="264"/>
        <w:gridCol w:w="614"/>
      </w:tblGrid>
      <w:tr>
        <w:trPr/>
        <w:tc>
          <w:tcPr>
            <w:tcW w:w="4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equity ownership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of AB 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AB Holding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Distribution per AB Holding Unit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Distributions reflect the impact of AB’s non-GAAP adjustments.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Holding's net income for the three and six months ended June 30, 2026 increased $1.5 million and $12.7 million, respectively, compared to the corresponding periods in 2025, primarily due to higher net income attributable to AB Unitholders, partially offset by lower weighted average equity ownership interest in AB.</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Holding’s partnership gross income is derived from its interest in AB. AB Holding’s income taxes, which reflect a 3.5% federal tax on its partnership gross income from the active conduct of a trade or business, are computed by multiplying AB qualifying revenues by AB Holding’s ownership interest in AB, multiplied by the 3.5% tax rate. AB qualifying revenues are primarily U.S. investment advisory fees. AB Holding's effective tax rate was 10.4% during the three months ended June 30, 2026, compared to 10.9% during the three months ended June 30, 2025. AB Holding's effective tax rate was 8.9% during the six months ended June 30, 2026, compared to 10.7% during the six months ended June 30, 2025. </w:t>
      </w:r>
      <w:r>
        <w:rPr>
          <w:rFonts w:ascii="Times New Roman;serif" w:hAnsi="Times New Roman;serif"/>
          <w:b w:val="false"/>
          <w:i/>
          <w:color w:val="000000"/>
          <w:sz w:val="20"/>
        </w:rPr>
        <w:t>See Note 7</w:t>
      </w:r>
      <w:r>
        <w:rPr>
          <w:color w:val="000000"/>
        </w:rPr>
        <w:t xml:space="preserve"> </w:t>
      </w:r>
      <w:r>
        <w:rPr>
          <w:rFonts w:ascii="Times New Roman;serif" w:hAnsi="Times New Roman;serif"/>
          <w:b w:val="false"/>
          <w:i/>
          <w:color w:val="000000"/>
          <w:sz w:val="20"/>
        </w:rPr>
        <w:t>to the condensed financial statements in Item 1</w:t>
      </w:r>
      <w:r>
        <w:rPr>
          <w:color w:val="000000"/>
        </w:rPr>
        <w:t xml:space="preserve"> </w:t>
      </w:r>
      <w:r>
        <w:rPr>
          <w:rFonts w:ascii="Times New Roman;serif" w:hAnsi="Times New Roman;serif"/>
          <w:b w:val="false"/>
          <w:color w:val="000000"/>
          <w:sz w:val="20"/>
        </w:rPr>
        <w:t xml:space="preserve">for the calculation of income tax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supplemental information, AB provides the performance measures “adjusted net revenues,” “adjusted operating income” and “adjusted operating margin,” which are additional operating metrics management uses in evaluating and comparing the period-to-period operating performance of AB. Management uses these additional metrics in evaluating performance because they present a clearer picture of AB's operating performance and allow management to see long-term trends without the distortion primarily caused by long-term incentive compensation-related mark-to-market adjustments, acquisition-related expenses, interest expense and other adjustment items. Similarly, management believes that these management operating metrics help investors better understand the underlying trends in AB's results and, accordingly, provide a valuable perspective for investors. Such measures are not based on generally accepted accounting principles (“non-GAAP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the non-GAAP measures "adjusted net income" and "adjusted net income per unit" because our quarterly distribution per unit is typically our adjusted net income per unit (which is derived from adjusted net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These non-GAAP measures are provided in addition to, and not as substitutes for, net revenues, operating income and operating margin, and they may not be comparable to non-GAAP measures presented by other companies. Management uses both GAAP and non-GAAP measures in evaluating the company’s financial performance. The non-GAAP measures alone may pose limitations because they do not include all of AB’s revenues and expenses. Further, adjusted net income per AB Holding Unit is not a liquidity measure and should not be used in place of cash flow measures. </w:t>
      </w:r>
      <w:r>
        <w:rPr>
          <w:rFonts w:ascii="Times New Roman;serif" w:hAnsi="Times New Roman;serif"/>
          <w:b w:val="false"/>
          <w:i/>
          <w:color w:val="000000"/>
          <w:sz w:val="20"/>
        </w:rPr>
        <w:t>See AB’s MD&amp;A contained in Exhibit 99.1</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impact of these adjustments on AB Holding’s net income and net income per AB Holding Unit is as follows:</w:t>
      </w:r>
    </w:p>
    <w:tbl>
      <w:tblPr>
        <w:tblW w:w="10205" w:type="dxa"/>
        <w:jc w:val="left"/>
        <w:tblInd w:w="0" w:type="dxa"/>
        <w:tblLayout w:type="fixed"/>
        <w:tblCellMar>
          <w:top w:w="28" w:type="dxa"/>
          <w:left w:w="28" w:type="dxa"/>
          <w:bottom w:w="28" w:type="dxa"/>
          <w:right w:w="28" w:type="dxa"/>
        </w:tblCellMar>
      </w:tblPr>
      <w:tblGrid>
        <w:gridCol w:w="1399"/>
        <w:gridCol w:w="1213"/>
        <w:gridCol w:w="1217"/>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7"/>
      </w:tblGrid>
      <w:tr>
        <w:trPr/>
        <w:tc>
          <w:tcPr>
            <w:tcW w:w="139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AB non-GAAP 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income tax benefit (expense)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non-GAAP adjustments, after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Holding’s weighted average equity ownership interest in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Impact on AB Holding’s net income of AB non-GAAP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AB Holding’s net income of AB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Holding Unit,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AB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AB Holding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0.82</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0.76</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Includes all AB non-GAAP adjustments to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degree to which AB's non-GAAP adjustments impact AB Holding's net income fluctuates based on AB Holding's ownership percentage in AB.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Distributions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 Holding is required to distribute all of its Available Cash Flow, as defined in the AB Holding Partnership Agreement, to its Unitholders (including the General Partner). Available Cash Flow typically is the adjusted net income per Unit for the quarter multiplied by the number of Units outstanding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r>
        <w:rPr>
          <w:rFonts w:ascii="Times New Roman;serif" w:hAnsi="Times New Roman;serif"/>
          <w:b w:val="false"/>
          <w:i/>
          <w:color w:val="000000"/>
          <w:sz w:val="20"/>
        </w:rPr>
        <w:t>See Note 2 to the condensed financial statements in Item 1</w:t>
      </w:r>
      <w:r>
        <w:rPr>
          <w:color w:val="000000"/>
        </w:rPr>
        <w:t xml:space="preserve"> </w:t>
      </w:r>
      <w:r>
        <w:rPr>
          <w:rFonts w:ascii="Times New Roman;serif" w:hAnsi="Times New Roman;serif"/>
          <w:b w:val="false"/>
          <w:color w:val="000000"/>
          <w:sz w:val="20"/>
        </w:rPr>
        <w:t>for a description of Available Cash Flow.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Resources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operating activities was $165.4 million, compared to $203.9 million during the corresponding 2025 period. The decrease primarily resulted from lower cash distributions received from AB of $43.2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financing activities was $165.4 million, compared to $203.9 million during the corresponding 2025 period. The decrease was primarily due to lower cash distributions to Unitholders of $38.3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AB Holding will have the resources it needs to meet its financial obligations as a result of the cash flow AB Holding realizes from its investment in AB. AB Holding’s cash inflow is comprised entirely of distributions from AB. These distributions are subsequently distributed (net of taxes paid) in their entirety to AB Holding’s Unitholders. As a result, AB Holding has no liquidity risk as it only pays distributions to AB Holding’s Unitholders to the extent of distributions received from AB (net of taxes paid).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See Note 8 to the condensed financial statements in Item 1</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CAUTIONS REGARDING FORWARD-LOOKING STATEMENTS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Certain statements provided by management in this report and in the portion of AB’s Form 10-Q attached hereto as </w:t>
      </w:r>
      <w:r>
        <w:rPr>
          <w:rFonts w:ascii="Times New Roman;serif" w:hAnsi="Times New Roman;serif"/>
          <w:b w:val="false"/>
          <w:i/>
          <w:color w:val="000000"/>
          <w:sz w:val="20"/>
        </w:rPr>
        <w:t>Exhibit 99.1</w:t>
      </w:r>
      <w:r>
        <w:rPr>
          <w:color w:val="000000"/>
        </w:rPr>
        <w:t xml:space="preserve"> </w:t>
      </w:r>
      <w:r>
        <w:rPr>
          <w:rFonts w:ascii="Times New Roman;serif" w:hAnsi="Times New Roman;serif"/>
          <w:b w:val="false"/>
          <w:color w:val="000000"/>
          <w:sz w:val="20"/>
        </w:rPr>
        <w:t>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 managed accounts, general economic conditions, the impact of tariffs and potential disruptions in international trade on financial markets, product and account performance, asset levels and economic conditions, industry trends, future acquisitions, integration of acquired companies, competitive conditions and government regulations, including changes in tax regulations and rates and the manner in which the earnings of publicly-traded partnerships are taxed. We caution readers to carefully consider such factors. Further, these forward-looking statements speak only as of the date on which such statements are made; we undertake no obligation to update any forward-looking statements to reflect events or circumstances after the date of such statements. For further information regarding these forward-looking statements and the factors that could cause actual results to differ,</w:t>
      </w:r>
      <w:r>
        <w:rPr>
          <w:color w:val="000000"/>
        </w:rPr>
        <w:t> </w:t>
      </w:r>
      <w:r>
        <w:rPr>
          <w:rFonts w:ascii="Times New Roman;serif" w:hAnsi="Times New Roman;serif"/>
          <w:b w:val="false"/>
          <w:i/>
          <w:color w:val="000000"/>
          <w:sz w:val="20"/>
        </w:rPr>
        <w:t>see “Risk Factors” in Part I, Item 1A</w:t>
      </w:r>
      <w:r>
        <w:rPr>
          <w:color w:val="000000"/>
        </w:rPr>
        <w:t xml:space="preserve"> </w:t>
      </w:r>
      <w:r>
        <w:rPr>
          <w:rFonts w:ascii="Times New Roman;serif" w:hAnsi="Times New Roman;serif"/>
          <w:b w:val="false"/>
          <w:color w:val="000000"/>
          <w:sz w:val="20"/>
        </w:rPr>
        <w:t xml:space="preserve">of our Form 10-K for the year ended December 31, 2025 </w:t>
      </w:r>
      <w:r>
        <w:rPr>
          <w:rFonts w:ascii="Times New Roman;serif" w:hAnsi="Times New Roman;serif"/>
          <w:b w:val="false"/>
          <w:i/>
          <w:color w:val="000000"/>
          <w:sz w:val="20"/>
        </w:rPr>
        <w:t>and Part II, Item 1A</w:t>
      </w:r>
      <w:r>
        <w:rPr>
          <w:color w:val="000000"/>
        </w:rPr>
        <w:t> </w:t>
      </w:r>
      <w:r>
        <w:rPr>
          <w:rFonts w:ascii="Times New Roman;serif" w:hAnsi="Times New Roman;serif"/>
          <w:b w:val="false"/>
          <w:color w:val="000000"/>
          <w:sz w:val="20"/>
        </w:rPr>
        <w:t xml:space="preserve">in this Form 10-Q. Any or all of the forward-looking statements that we make in our Form 10-K, this Form 10-Q, other documents we file with or furnish to the SEC, and any other public statements we issue, may turn out to be wrong. It is important to remember that other factors besides </w:t>
      </w:r>
      <w:r>
        <w:rPr>
          <w:rFonts w:ascii="Times New Roman;serif" w:hAnsi="Times New Roman;serif"/>
          <w:b w:val="false"/>
          <w:i/>
          <w:color w:val="000000"/>
          <w:sz w:val="20"/>
        </w:rPr>
        <w:t>those listed in “Risk Factors” and those listed below</w:t>
      </w:r>
      <w:r>
        <w:rPr>
          <w:color w:val="000000"/>
        </w:rPr>
        <w:t xml:space="preserve"> </w:t>
      </w:r>
      <w:r>
        <w:rPr>
          <w:rFonts w:ascii="Times New Roman;serif" w:hAnsi="Times New Roman;serif"/>
          <w:b w:val="false"/>
          <w:color w:val="000000"/>
          <w:sz w:val="20"/>
        </w:rPr>
        <w:t>could also adversely impact our revenues, financial condition, results of operations and business prospects.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forward-looking statements referred to in </w:t>
      </w:r>
      <w:r>
        <w:rPr>
          <w:rFonts w:ascii="Times New Roman;serif" w:hAnsi="Times New Roman;serif"/>
          <w:b w:val="false"/>
          <w:i/>
          <w:color w:val="000000"/>
          <w:sz w:val="20"/>
        </w:rPr>
        <w:t>the preceding paragraph</w:t>
      </w:r>
      <w:r>
        <w:rPr>
          <w:rFonts w:ascii="Times New Roman;serif" w:hAnsi="Times New Roman;serif"/>
          <w:b w:val="false"/>
          <w:color w:val="000000"/>
          <w:sz w:val="20"/>
        </w:rPr>
        <w:t>, most of which directly affect AB and may also affect AB Holding because AB Holding’s principal source of income and cash flow is attributable to its investment in AB, include statements regarding: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Our belief that the cash flow AB Holding realizes from its investment in AB will provide AB Holding with the resources it needs to meet its financial obligations:</w:t>
      </w:r>
      <w:r>
        <w:rPr>
          <w:color w:val="000000"/>
        </w:rPr>
        <w:t xml:space="preserve"> </w:t>
      </w:r>
      <w:r>
        <w:rPr>
          <w:rFonts w:ascii="Times New Roman;serif" w:hAnsi="Times New Roman;serif"/>
          <w:b w:val="false"/>
          <w:color w:val="000000"/>
          <w:sz w:val="20"/>
        </w:rPr>
        <w:t>AB Holding’s cash flow is dependent on the quarterly cash distributions it receives from AB. Accordingly, AB Holding’s ability to meet its financial obligations is dependent on AB’s cash flow from its operations, which is subject to the performance of the capital markets and other factors beyond our control.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Our financial condition and ability to access the public and private capital markets providing adequate liquidity for our general business needs:</w:t>
      </w:r>
      <w:r>
        <w:rPr>
          <w:color w:val="000000"/>
        </w:rPr>
        <w:t xml:space="preserve"> </w:t>
      </w:r>
      <w:r>
        <w:rPr>
          <w:rFonts w:ascii="Times New Roman;serif" w:hAnsi="Times New Roman;serif"/>
          <w:b w:val="false"/>
          <w:color w:val="000000"/>
          <w:sz w:val="20"/>
        </w:rPr>
        <w:t>Our financial condition is dependent on our cash flow from operations, which is subject to the performance of the capital markets, our ability to maintain and grow client assets under management and other factors beyond our control. Our ability to access public and private capital markets on reasonable terms may be limited by adverse market conditions, our firm’s credit ratings, our profitability and changes in government regulations, including tax rates and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The outcome of litigation:</w:t>
      </w:r>
      <w:r>
        <w:rPr>
          <w:color w:val="000000"/>
        </w:rPr>
        <w:t xml:space="preserve"> </w:t>
      </w:r>
      <w:r>
        <w:rPr>
          <w:rFonts w:ascii="Times New Roman;serif" w:hAnsi="Times New Roman;serif"/>
          <w:b w:val="false"/>
          <w:color w:val="000000"/>
          <w:sz w:val="20"/>
        </w:rPr>
        <w:t>Litigation is inherently unpredictable and excessive damage awards do occur. Though we have stated that we do not expect any pending legal proceedings to have a material adverse effect on our results of operations, financial condition or liquidity, any settlement or judgment with respect to a legal proceeding could be significant and could have such an effect.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The possibility that we will engage in open market purchases of AB Holding Units for anticipated obligations under our incentive compensation award program:</w:t>
      </w:r>
      <w:r>
        <w:rPr>
          <w:color w:val="000000"/>
        </w:rPr>
        <w:t xml:space="preserve"> </w:t>
      </w:r>
      <w:r>
        <w:rPr>
          <w:rFonts w:ascii="Times New Roman;serif" w:hAnsi="Times New Roman;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Our determination that adjusted employee compensation expense, excluding the impact of performance-based fees, generally should not exceed 50% of our adjusted net revenues on an annual basis:</w:t>
      </w:r>
      <w:r>
        <w:rPr>
          <w:color w:val="000000"/>
        </w:rPr>
        <w:t xml:space="preserve"> </w:t>
      </w:r>
      <w:r>
        <w:rPr>
          <w:rFonts w:ascii="Times New Roman;serif" w:hAnsi="Times New Roman;serif"/>
          <w:b w:val="false"/>
          <w:color w:val="000000"/>
          <w:sz w:val="20"/>
        </w:rPr>
        <w:t>Aggregate employee compensation reflects employee performance and competitive compensation levels.  Fluctuations in our revenues and/or changes in competitive compensation levels could result in adjusted employee compensation expense exceeding 50% of our adjusted net revenues.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Our initiative to replace our investment management technology:</w:t>
      </w:r>
      <w:r>
        <w:rPr>
          <w:color w:val="000000"/>
        </w:rPr>
        <w:t xml:space="preserve"> </w:t>
      </w:r>
      <w:r>
        <w:rPr>
          <w:rFonts w:ascii="Times New Roman;serif" w:hAnsi="Times New Roman;serif"/>
          <w:b w:val="false"/>
          <w:color w:val="000000"/>
          <w:sz w:val="20"/>
        </w:rPr>
        <w:t>While we believe that our initiative to replace our existing investment management technology will result in long term savings to the business based on reasonable assumptions as of the date of this report, the duration and complexity of the project creates a significant risk that our current assumptions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left"/>
        <w:rPr/>
      </w:pPr>
      <w:r>
        <w:rPr>
          <w:rFonts w:ascii="Times New Roman;serif" w:hAnsi="Times New Roman;serif"/>
          <w:b/>
          <w:color w:val="000000"/>
          <w:sz w:val="20"/>
        </w:rPr>
        <w:t>Item 3.    </w:t>
      </w:r>
      <w:r>
        <w:rPr>
          <w:rFonts w:ascii="Times New Roman;serif" w:hAnsi="Times New Roman;serif"/>
          <w:b/>
          <w:color w:val="000000"/>
          <w:sz w:val="20"/>
          <w:u w:val="single"/>
        </w:rPr>
        <w:t>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During the second quarter of 2026, there have been no material changes in AB Holding’s market risk from the information provided under </w:t>
      </w:r>
      <w:r>
        <w:rPr>
          <w:color w:val="000000"/>
        </w:rPr>
        <w:t>“</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 Part II, Item 7A of AB Holding's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    </w:t>
      </w:r>
      <w:r>
        <w:rPr>
          <w:rFonts w:ascii="Times New Roman;serif" w:hAnsi="Times New Roman;serif"/>
          <w:b/>
          <w:color w:val="000000"/>
          <w:sz w:val="20"/>
          <w:u w:val="single"/>
        </w:rPr>
        <w:t>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and AB maintain a system of disclosure controls and procedures that is designed to ensure that information required to be disclosed in our reports under the Exchange Act is (i) recorded, processed, summarized and reported in a timely manner, and (ii) accumulated and communicated to management, including the Chief Executive Officer ("CEO") and the Chief Financial Officer ("CFO"), to permit timely decisions regarding our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management carried out an evaluation, under the supervision and with the participation of the CEO and the CFO, of the effectiveness of the design and operation of the disclosure controls and procedures. Based on this evaluation, the CEO and the CFO concluded that the disclosure controls and procedures are effective.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completed the implementation of a new accounting and financial reporting software system (the "software system"). As part of this implementation, the Company updated its internal controls over financial reporting to address changes in business processes resulting from the new software system. There were no other changes in our internal control over financial reporting that occurred during the six months ended June 30, 2026, that have materially affected, or are reasonably likely to have materially affected,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    </w:t>
      </w:r>
      <w:r>
        <w:rPr>
          <w:rFonts w:ascii="Times New Roman;serif" w:hAnsi="Times New Roman;serif"/>
          <w:b/>
          <w:color w:val="000000"/>
          <w:sz w:val="20"/>
          <w:u w:val="single"/>
        </w:rPr>
        <w:t>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See Note 8 to the condensed financial statements contained in Part I, Item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1A.    </w:t>
      </w:r>
      <w:r>
        <w:rPr>
          <w:rFonts w:ascii="Times New Roman;serif" w:hAnsi="Times New Roman;serif"/>
          <w:b/>
          <w:color w:val="000000"/>
          <w:sz w:val="20"/>
          <w:u w:val="single"/>
        </w:rPr>
        <w:t>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there have been no material changes to the risk factors from those appearing in AB Holding's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color w:val="000000"/>
          <w:sz w:val="20"/>
          <w:u w:val="single"/>
        </w:rPr>
        <w:t>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AB Holding Units sold by AB Holding in the period covered by this report that were not registered under the Securities Act.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Each quarter, AB considers whether to implement a plan to repurchase AB Holding Units pursuant to Rules 10b5-1 and 10b-18 under the Securities Exchange Act of 1934 ("Exchange Act"). The plan adopted during the second quarter of 2026 expired at the close of business on July 27, 2026. AB may adopt additional plans in the future to engage in open-market purchases of AB Holding Units for anticipated obligations under the firm's incentive compensation award program and for other corporate purposes. </w:t>
      </w:r>
      <w:r>
        <w:rPr>
          <w:rFonts w:ascii="Times New Roman;serif" w:hAnsi="Times New Roman;serif"/>
          <w:b w:val="false"/>
          <w:i/>
          <w:color w:val="000000"/>
          <w:sz w:val="20"/>
        </w:rPr>
        <w:t>See Note 3 to the condensed financial statements contained in Part I, Item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 Holding Units bought by us or one of our affiliates during the second quarter of 2026 are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95"/>
        <w:gridCol w:w="435"/>
        <w:gridCol w:w="438"/>
        <w:gridCol w:w="109"/>
        <w:gridCol w:w="109"/>
        <w:gridCol w:w="109"/>
        <w:gridCol w:w="563"/>
        <w:gridCol w:w="490"/>
        <w:gridCol w:w="492"/>
        <w:gridCol w:w="109"/>
        <w:gridCol w:w="109"/>
        <w:gridCol w:w="109"/>
        <w:gridCol w:w="387"/>
        <w:gridCol w:w="1159"/>
        <w:gridCol w:w="201"/>
        <w:gridCol w:w="109"/>
        <w:gridCol w:w="109"/>
        <w:gridCol w:w="109"/>
        <w:gridCol w:w="686"/>
        <w:gridCol w:w="686"/>
        <w:gridCol w:w="688"/>
        <w:gridCol w:w="109"/>
        <w:gridCol w:w="109"/>
        <w:gridCol w:w="109"/>
        <w:gridCol w:w="634"/>
        <w:gridCol w:w="634"/>
        <w:gridCol w:w="909"/>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AB Holding Units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pPr>
            <w:r>
              <w:rPr>
                <w:rFonts w:ascii="Times New Roman;serif" w:hAnsi="Times New Roman;serif"/>
                <w:b/>
                <w:color w:val="000000"/>
                <w:sz w:val="20"/>
              </w:rPr>
              <w:t>Paid</w:t>
            </w:r>
            <w:r>
              <w:rPr>
                <w:color w:val="000000"/>
              </w:rPr>
              <w:t xml:space="preserve"> </w:t>
            </w:r>
            <w:r>
              <w:rPr>
                <w:rFonts w:ascii="Times New Roman;serif" w:hAnsi="Times New Roman;serif"/>
                <w:b/>
                <w:color w:val="000000"/>
                <w:sz w:val="20"/>
              </w:rPr>
              <w:t>Per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AB Holding Unit, Net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AB Holding Units Purchased as</w:t>
              <w:br/>
              <w:t>Part of Publicly</w:t>
              <w:br/>
              <w:t>Announced Plans</w:t>
              <w:br/>
              <w:t>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br/>
              <w:t>(or Approximate</w:t>
              <w:br/>
              <w:t>Dollar Value) of</w:t>
              <w:br/>
              <w:t>AB Holding Units that May Yet</w:t>
              <w:br/>
              <w:t>Be Purchased Under</w:t>
              <w:br/>
              <w:t>the Plans or</w:t>
              <w:br/>
              <w:t>Programs</w:t>
            </w:r>
          </w:p>
        </w:tc>
      </w:tr>
      <w:tr>
        <w:trPr/>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4/1/26 - 4/30/26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5/1/26 - 5/31/26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182,154 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6/1/26 - 6/30/26</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253,224 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532,800</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37.20</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 xml:space="preserve">During the second quarter of 2026, AB retained from employees 78,291 AB Holding Units to allow them to fulfill statutory withholding tax requirements at the time of distribution of long-term incentive compensation awards. </w:t>
      </w:r>
    </w:p>
    <w:p>
      <w:pPr>
        <w:pStyle w:val="TextBody"/>
        <w:bidi w:val="0"/>
        <w:spacing w:lineRule="auto" w:line="288" w:before="0" w:after="0"/>
        <w:ind w:left="0" w:right="0" w:hanging="360"/>
        <w:jc w:val="both"/>
        <w:rPr/>
      </w:pPr>
      <w:r>
        <w:rPr>
          <w:rFonts w:ascii="Times New Roman;serif" w:hAnsi="Times New Roman;serif"/>
          <w:b w:val="false"/>
          <w:color w:val="000000"/>
          <w:sz w:val="16"/>
        </w:rPr>
        <w:t>(2)</w:t>
      </w:r>
      <w:r>
        <w:rPr>
          <w:rFonts w:ascii="Times New Roman;serif" w:hAnsi="Times New Roman;serif"/>
          <w:b w:val="false"/>
          <w:color w:val="000000"/>
          <w:sz w:val="18"/>
        </w:rPr>
        <w:t>During the second quarter of 2026, AB purchased 454,509 AB Holding Units on the open market pursuant to a Rule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10b5-1 plan for anticipated obligations under our incentive compensation award program.</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both"/>
        <w:rPr/>
      </w:pPr>
      <w:r>
        <w:rPr>
          <w:rFonts w:ascii="Times New Roman;serif" w:hAnsi="Times New Roman;serif"/>
          <w:b w:val="false"/>
          <w:color w:val="000000"/>
          <w:sz w:val="20"/>
        </w:rPr>
        <w:t xml:space="preserve">AB Units bought by us or one of our affiliates during the </w:t>
      </w:r>
      <w:r>
        <w:rPr>
          <w:rFonts w:ascii="Times New Roman;serif" w:hAnsi="Times New Roman;serif"/>
          <w:b w:val="false"/>
          <w:color w:val="000000"/>
          <w:sz w:val="18"/>
        </w:rPr>
        <w:t>second quarter</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18"/>
        </w:rPr>
        <w:t>2026</w:t>
      </w:r>
      <w:r>
        <w:rPr>
          <w:color w:val="000000"/>
        </w:rPr>
        <w:t xml:space="preserve"> </w:t>
      </w:r>
      <w:r>
        <w:rPr>
          <w:rFonts w:ascii="Times New Roman;serif" w:hAnsi="Times New Roman;serif"/>
          <w:b w:val="false"/>
          <w:color w:val="000000"/>
          <w:sz w:val="20"/>
        </w:rPr>
        <w:t>are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left"/>
        <w:rPr>
          <w:color w:val="000000"/>
        </w:rPr>
      </w:pPr>
      <w:r>
        <w:rPr>
          <w:color w:val="000000"/>
        </w:rPr>
        <w:t> </w:t>
      </w:r>
    </w:p>
    <w:tbl>
      <w:tblPr>
        <w:tblW w:w="9615" w:type="dxa"/>
        <w:jc w:val="left"/>
        <w:tblInd w:w="0" w:type="dxa"/>
        <w:tblLayout w:type="fixed"/>
        <w:tblCellMar>
          <w:top w:w="28" w:type="dxa"/>
          <w:left w:w="28" w:type="dxa"/>
          <w:bottom w:w="28" w:type="dxa"/>
          <w:right w:w="28" w:type="dxa"/>
        </w:tblCellMar>
      </w:tblPr>
      <w:tblGrid>
        <w:gridCol w:w="586"/>
        <w:gridCol w:w="516"/>
        <w:gridCol w:w="518"/>
        <w:gridCol w:w="109"/>
        <w:gridCol w:w="109"/>
        <w:gridCol w:w="109"/>
        <w:gridCol w:w="434"/>
        <w:gridCol w:w="434"/>
        <w:gridCol w:w="436"/>
        <w:gridCol w:w="109"/>
        <w:gridCol w:w="109"/>
        <w:gridCol w:w="109"/>
        <w:gridCol w:w="296"/>
        <w:gridCol w:w="885"/>
        <w:gridCol w:w="154"/>
        <w:gridCol w:w="109"/>
        <w:gridCol w:w="109"/>
        <w:gridCol w:w="109"/>
        <w:gridCol w:w="669"/>
        <w:gridCol w:w="669"/>
        <w:gridCol w:w="671"/>
        <w:gridCol w:w="109"/>
        <w:gridCol w:w="109"/>
        <w:gridCol w:w="109"/>
        <w:gridCol w:w="596"/>
        <w:gridCol w:w="596"/>
        <w:gridCol w:w="847"/>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AB Units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pPr>
            <w:r>
              <w:rPr>
                <w:rFonts w:ascii="Times New Roman;serif" w:hAnsi="Times New Roman;serif"/>
                <w:b/>
                <w:color w:val="000000"/>
                <w:sz w:val="20"/>
              </w:rPr>
              <w:t>Paid</w:t>
            </w:r>
            <w:r>
              <w:rPr>
                <w:color w:val="000000"/>
              </w:rPr>
              <w:t xml:space="preserve"> </w:t>
            </w:r>
            <w:r>
              <w:rPr>
                <w:rFonts w:ascii="Times New Roman;serif" w:hAnsi="Times New Roman;serif"/>
                <w:b/>
                <w:color w:val="000000"/>
                <w:sz w:val="20"/>
              </w:rPr>
              <w:t>Per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AB Unit, net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AB Units Purchased as</w:t>
              <w:br/>
              <w:t>Part of Publicly</w:t>
              <w:br/>
              <w:t>Announced Plans</w:t>
              <w:br/>
              <w:t>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br/>
              <w:t>(or Approximate</w:t>
              <w:br/>
              <w:t>Dollar Value) of</w:t>
              <w:br/>
              <w:t>AB Units that May Yet</w:t>
              <w:br/>
              <w:t>Be Purchased Under</w:t>
              <w:br/>
              <w:t>the Plans or</w:t>
              <w:br/>
              <w:t>Programs</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4/1/26 - 4/30/26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5/1/26 - 5/31/26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6/1/26 - 6/30/26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2,200</w:t>
            </w:r>
            <w:r>
              <w:rPr>
                <w:color w:val="000000"/>
              </w:rPr>
              <w:t>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color w:val="000000"/>
          <w:sz w:val="12"/>
        </w:rPr>
        <w:t>(1)</w:t>
      </w:r>
      <w:r>
        <w:rPr>
          <w:rFonts w:ascii="Times New Roman;serif" w:hAnsi="Times New Roman;serif"/>
          <w:b w:val="false"/>
          <w:color w:val="000000"/>
          <w:sz w:val="18"/>
        </w:rPr>
        <w:t>During the second quarter of 2026, AB purchased 2,200 AB Units in private transactions and retired them.</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3.    </w:t>
      </w:r>
      <w:r>
        <w:rPr>
          <w:rFonts w:ascii="Times New Roman;serif" w:hAnsi="Times New Roman;serif"/>
          <w:b/>
          <w:color w:val="000000"/>
          <w:sz w:val="20"/>
          <w:u w:val="single"/>
        </w:rPr>
        <w:t>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    </w:t>
      </w:r>
      <w:r>
        <w:rPr>
          <w:rFonts w:ascii="Times New Roman;serif" w:hAnsi="Times New Roman;serif"/>
          <w:b/>
          <w:color w:val="000000"/>
          <w:sz w:val="20"/>
          <w:u w:val="single"/>
        </w:rPr>
        <w:t>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5.    </w:t>
      </w:r>
      <w:r>
        <w:rPr>
          <w:rFonts w:ascii="Times New Roman;serif" w:hAnsi="Times New Roman;serif"/>
          <w:b/>
          <w:color w:val="000000"/>
          <w:sz w:val="20"/>
          <w:u w:val="single"/>
        </w:rPr>
        <w:t>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directors or officers adopted or terminated a 10b5-1 trading arrangement or non-10b5-1 trading arrangement during the second quarter of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color w:val="000000"/>
          <w:sz w:val="20"/>
          <w:u w:val="single"/>
        </w:rPr>
        <w:t>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1"/>
        <w:gridCol w:w="205"/>
        <w:gridCol w:w="206"/>
        <w:gridCol w:w="2869"/>
        <w:gridCol w:w="2757"/>
        <w:gridCol w:w="3917"/>
      </w:tblGrid>
      <w:tr>
        <w:trPr/>
        <w:tc>
          <w:tcPr>
            <w:tcW w:w="2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630xex311.htm">
              <w:r>
                <w:rPr>
                  <w:rStyle w:val="InternetLink"/>
                  <w:rFonts w:ascii="Times New Roman;serif" w:hAnsi="Times New Roman;serif"/>
                  <w:b w:val="false"/>
                  <w:color w:val="0000FF"/>
                  <w:sz w:val="20"/>
                  <w:u w:val="single"/>
                </w:rPr>
                <w:t>Certification of Mr. Bernstein furnished pursuant to Section 302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630xex312.htm">
              <w:r>
                <w:rPr>
                  <w:rStyle w:val="InternetLink"/>
                  <w:rFonts w:ascii="Times New Roman;serif" w:hAnsi="Times New Roman;serif"/>
                  <w:b w:val="false"/>
                  <w:color w:val="0000FF"/>
                  <w:sz w:val="20"/>
                  <w:u w:val="single"/>
                </w:rPr>
                <w:t>Certification of Mr. Simeone furnished pursuant to Section 302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630xex321.htm">
              <w:r>
                <w:rPr>
                  <w:rStyle w:val="InternetLink"/>
                  <w:rFonts w:ascii="Times New Roman;serif" w:hAnsi="Times New Roman;serif"/>
                  <w:b w:val="false"/>
                  <w:color w:val="0000FF"/>
                  <w:sz w:val="20"/>
                  <w:u w:val="single"/>
                </w:rPr>
                <w:t>Certification of Mr. Bernstein furnished for the purpose of complying with Rule 13a-14(b) or Rule 15d-14(b) of the Securities Exchange Act of 1934 and 18 U.S.C. Section 1350, as adopted pursuant to Section 906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b-20260630xex322.htm">
              <w:r>
                <w:rPr>
                  <w:rStyle w:val="InternetLink"/>
                  <w:rFonts w:ascii="Times New Roman;serif" w:hAnsi="Times New Roman;serif"/>
                  <w:b w:val="false"/>
                  <w:color w:val="0000FF"/>
                  <w:sz w:val="20"/>
                  <w:u w:val="single"/>
                </w:rPr>
                <w:t>Certification of Mr. Simeone furnished for the purpose of complying with Rule 13a-14(b) or Rule 15d-14(b) of the Securities Exchange Act of 1934 and 18 U.S.C. Section 1350, as adopted pursuant to Section 906 of the Sarbanes-Oxley Act of 2002.</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99.1 </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1-ablp_20260630x10q.htm">
              <w:r>
                <w:rPr>
                  <w:rStyle w:val="InternetLink"/>
                  <w:rFonts w:ascii="Times New Roman;serif" w:hAnsi="Times New Roman;serif"/>
                  <w:b w:val="false"/>
                  <w:color w:val="000080"/>
                  <w:sz w:val="20"/>
                  <w:u w:val="single"/>
                </w:rPr>
                <w:t xml:space="preserve">Part I, Items 1 through 4 of the AllianceBernstein L.P. Quarterly Report on Form 10-Q for the quarter ended </w:t>
              </w:r>
            </w:hyperlink>
            <w:hyperlink w:anchor="ex991-ablp_20260630x10q.htm">
              <w:r>
                <w:rPr>
                  <w:rStyle w:val="InternetLink"/>
                  <w:rFonts w:ascii="Times New Roman;serif" w:hAnsi="Times New Roman;serif"/>
                  <w:b w:val="false"/>
                  <w:color w:val="000080"/>
                  <w:sz w:val="20"/>
                  <w:u w:val="single"/>
                </w:rPr>
                <w:t>June</w:t>
              </w:r>
            </w:hyperlink>
            <w:hyperlink w:anchor="ex991-ablp_20260630x10q.htm">
              <w:r>
                <w:rPr>
                  <w:rStyle w:val="InternetLink"/>
                  <w:rFonts w:ascii="Times New Roman;serif" w:hAnsi="Times New Roman;serif"/>
                  <w:b w:val="false"/>
                  <w:color w:val="000080"/>
                  <w:sz w:val="20"/>
                  <w:u w:val="single"/>
                </w:rPr>
                <w:t xml:space="preserve"> 3</w:t>
              </w:r>
            </w:hyperlink>
            <w:hyperlink w:anchor="ex991-ablp_20260630x10q.htm">
              <w:r>
                <w:rPr>
                  <w:rStyle w:val="InternetLink"/>
                  <w:rFonts w:ascii="Times New Roman;serif" w:hAnsi="Times New Roman;serif"/>
                  <w:b w:val="false"/>
                  <w:color w:val="000080"/>
                  <w:sz w:val="20"/>
                  <w:u w:val="single"/>
                </w:rPr>
                <w:t>0</w:t>
              </w:r>
            </w:hyperlink>
            <w:hyperlink w:anchor="ex991-ablp_20260630x10q.htm">
              <w:r>
                <w:rPr>
                  <w:rStyle w:val="InternetLink"/>
                  <w:rFonts w:ascii="Times New Roman;serif" w:hAnsi="Times New Roman;serif"/>
                  <w:b w:val="false"/>
                  <w:color w:val="000080"/>
                  <w:sz w:val="20"/>
                  <w:u w:val="single"/>
                </w:rPr>
                <w:t xml:space="preserve">, 2026. </w:t>
              </w:r>
            </w:hyperlink>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12529"/>
                <w:sz w:val="20"/>
              </w:rPr>
            </w:pPr>
            <w:r>
              <w:rPr>
                <w:rFonts w:ascii="Times New Roman;serif" w:hAnsi="Times New Roman;serif"/>
                <w:b w:val="false"/>
                <w:color w:val="212529"/>
                <w:sz w:val="20"/>
              </w:rPr>
              <w:t>The cover page from the Company’s Quarterly Report on Form 10-Q for the quarter ended June 30, 2026, formatted in Inline XBRL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b1bd06c21e74056a468f598f2e3f95a_7">
        <w:r>
          <w:rPr>
            <w:rStyle w:val="InternetLink"/>
            <w:rFonts w:ascii="Times New Roman;serif" w:hAnsi="Times New Roman;serif"/>
            <w:b w:val="false"/>
            <w:i/>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945" w:type="dxa"/>
        <w:jc w:val="left"/>
        <w:tblInd w:w="0" w:type="dxa"/>
        <w:tblLayout w:type="fixed"/>
        <w:tblCellMar>
          <w:top w:w="28" w:type="dxa"/>
          <w:left w:w="28" w:type="dxa"/>
          <w:bottom w:w="28" w:type="dxa"/>
          <w:right w:w="28" w:type="dxa"/>
        </w:tblCellMar>
      </w:tblPr>
      <w:tblGrid>
        <w:gridCol w:w="618"/>
        <w:gridCol w:w="544"/>
        <w:gridCol w:w="547"/>
        <w:gridCol w:w="387"/>
        <w:gridCol w:w="387"/>
        <w:gridCol w:w="387"/>
        <w:gridCol w:w="580"/>
        <w:gridCol w:w="580"/>
        <w:gridCol w:w="580"/>
        <w:gridCol w:w="387"/>
        <w:gridCol w:w="387"/>
        <w:gridCol w:w="5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2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ALLIANCEBERNSTEIN HOLDING L.P.</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Simeone</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Simeone</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Alexis Luckey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Alexis Luckey</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ind w:left="0" w:right="0" w:firstLine="36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Seth Bernstein,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AllianceBernstein Holding L.P.;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4407" w:type="dxa"/>
        <w:jc w:val="left"/>
        <w:tblInd w:w="0" w:type="dxa"/>
        <w:tblLayout w:type="fixed"/>
        <w:tblCellMar>
          <w:top w:w="28" w:type="dxa"/>
          <w:left w:w="28" w:type="dxa"/>
          <w:bottom w:w="28" w:type="dxa"/>
          <w:right w:w="28" w:type="dxa"/>
        </w:tblCellMar>
      </w:tblPr>
      <w:tblGrid>
        <w:gridCol w:w="618"/>
        <w:gridCol w:w="544"/>
        <w:gridCol w:w="547"/>
        <w:gridCol w:w="723"/>
        <w:gridCol w:w="723"/>
        <w:gridCol w:w="726"/>
        <w:gridCol w:w="154"/>
        <w:gridCol w:w="154"/>
        <w:gridCol w:w="21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Seth Bernstein</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Seth Bernstein</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Tom Simeone,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AllianceBernstein Holding L.P.;</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pPr>
      <w:r>
        <w:rPr>
          <w:rFonts w:ascii="Times New Roman;serif" w:hAnsi="Times New Roman;serif"/>
          <w:b w:val="false"/>
          <w:color w:val="000000"/>
          <w:sz w:val="20"/>
        </w:rPr>
        <w:t>(a)All significant deficiencies and material weaknesses in the design or operation of internal control over financial</w:t>
      </w:r>
      <w:r>
        <w:rPr>
          <w:color w:val="000000"/>
        </w:rPr>
        <w:t>  </w:t>
      </w:r>
      <w:r>
        <w:rPr>
          <w:rFonts w:ascii="Times New Roman;serif" w:hAnsi="Times New Roman;serif"/>
          <w:b w:val="false"/>
          <w:color w:val="000000"/>
          <w:sz w:val="20"/>
        </w:rPr>
        <w:t>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4770" w:type="dxa"/>
        <w:jc w:val="left"/>
        <w:tblInd w:w="0" w:type="dxa"/>
        <w:tblLayout w:type="fixed"/>
        <w:tblCellMar>
          <w:top w:w="28" w:type="dxa"/>
          <w:left w:w="28" w:type="dxa"/>
          <w:bottom w:w="28" w:type="dxa"/>
          <w:right w:w="28" w:type="dxa"/>
        </w:tblCellMar>
      </w:tblPr>
      <w:tblGrid>
        <w:gridCol w:w="618"/>
        <w:gridCol w:w="544"/>
        <w:gridCol w:w="547"/>
        <w:gridCol w:w="884"/>
        <w:gridCol w:w="884"/>
        <w:gridCol w:w="887"/>
        <w:gridCol w:w="119"/>
        <w:gridCol w:w="119"/>
        <w:gridCol w:w="16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AllianceBernstein Holding L.P. (the “Company”) on Form 10-Q for the period ending June 30, 2026 to be filed with the Securities and Exchange Commission on or about July 31, 2026 (the “Report”), I, Seth Bernstein, Chief Executive Officer of the Company, certify, for the purpose of complying with Rule 13a-14(b) or Rule 15d-14(b) of the Securities Exchange Act of 1934 (the “Exchange Act”) and 18 U.S.C. §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jc w:val="both"/>
        <w:rPr/>
      </w:pPr>
      <w:r>
        <w:rPr/>
      </w:r>
    </w:p>
    <w:tbl>
      <w:tblPr>
        <w:tblW w:w="4736" w:type="dxa"/>
        <w:jc w:val="left"/>
        <w:tblInd w:w="0" w:type="dxa"/>
        <w:tblLayout w:type="fixed"/>
        <w:tblCellMar>
          <w:top w:w="28" w:type="dxa"/>
          <w:left w:w="28" w:type="dxa"/>
          <w:bottom w:w="28" w:type="dxa"/>
          <w:right w:w="28" w:type="dxa"/>
        </w:tblCellMar>
      </w:tblPr>
      <w:tblGrid>
        <w:gridCol w:w="618"/>
        <w:gridCol w:w="544"/>
        <w:gridCol w:w="547"/>
        <w:gridCol w:w="884"/>
        <w:gridCol w:w="884"/>
        <w:gridCol w:w="887"/>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Seth Bernstein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Seth Bernstein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AllianceBernstein Holding L.P. (the “Company”) on Form 10-Q for the period ending June 30, 2026 to be filed with the Securities and Exchange Commission on or about July 31, 2026 (the “Report”), I, Tom Simeone, Chief Financial Officer of the Company, certify, for the purpose of complying with Rule 13a-14(b) or 15d-14(b) of the Securities Exchange Act of 1934 (the “Exchange Act”) and 18 U.S.C. §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jc w:val="both"/>
        <w:rPr/>
      </w:pPr>
      <w:r>
        <w:rPr/>
      </w:r>
    </w:p>
    <w:tbl>
      <w:tblPr>
        <w:tblW w:w="4770" w:type="dxa"/>
        <w:jc w:val="left"/>
        <w:tblInd w:w="0" w:type="dxa"/>
        <w:tblLayout w:type="fixed"/>
        <w:tblCellMar>
          <w:top w:w="28" w:type="dxa"/>
          <w:left w:w="28" w:type="dxa"/>
          <w:bottom w:w="28" w:type="dxa"/>
          <w:right w:w="28" w:type="dxa"/>
        </w:tblCellMar>
      </w:tblPr>
      <w:tblGrid>
        <w:gridCol w:w="618"/>
        <w:gridCol w:w="544"/>
        <w:gridCol w:w="547"/>
        <w:gridCol w:w="884"/>
        <w:gridCol w:w="884"/>
        <w:gridCol w:w="887"/>
        <w:gridCol w:w="119"/>
        <w:gridCol w:w="119"/>
        <w:gridCol w:w="16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Holding L.P.</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Part 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9189" w:type="dxa"/>
        <w:jc w:val="center"/>
        <w:tblInd w:w="0" w:type="dxa"/>
        <w:tblLayout w:type="fixed"/>
        <w:tblCellMar>
          <w:top w:w="28" w:type="dxa"/>
          <w:left w:w="28" w:type="dxa"/>
          <w:bottom w:w="28" w:type="dxa"/>
          <w:right w:w="28" w:type="dxa"/>
        </w:tblCellMar>
      </w:tblPr>
      <w:tblGrid>
        <w:gridCol w:w="2244"/>
        <w:gridCol w:w="1970"/>
        <w:gridCol w:w="1981"/>
        <w:gridCol w:w="211"/>
        <w:gridCol w:w="991"/>
        <w:gridCol w:w="109"/>
        <w:gridCol w:w="109"/>
        <w:gridCol w:w="109"/>
        <w:gridCol w:w="109"/>
        <w:gridCol w:w="211"/>
        <w:gridCol w:w="991"/>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91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securities segregated, at fair value (cost: $227,580 and $496,263)</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dealers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clients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funds fees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consolidated company-sponsored investment funds: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Investments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assets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and leasehold improvements,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sales commissions,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9,241,119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9,277,776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24"/>
        <w:gridCol w:w="1464"/>
        <w:gridCol w:w="1467"/>
        <w:gridCol w:w="376"/>
        <w:gridCol w:w="1770"/>
        <w:gridCol w:w="194"/>
        <w:gridCol w:w="194"/>
        <w:gridCol w:w="194"/>
        <w:gridCol w:w="194"/>
        <w:gridCol w:w="376"/>
        <w:gridCol w:w="1770"/>
        <w:gridCol w:w="282"/>
      </w:tblGrid>
      <w:tr>
        <w:trPr/>
        <w:tc>
          <w:tcPr>
            <w:tcW w:w="192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REDEEMABLE NON-CONTROLLING INTEREST AND CAPITAL</w:t>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dealers</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clients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2,051,355 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1,936,726 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mutual funds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381,211 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518,578 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consolidated company-sponsored investment funds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592,198 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367,498 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4,213,864</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4,262,658</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r>
              <w:rPr>
                <w:rFonts w:ascii="Times New Roman;serif" w:hAnsi="Times New Roman;serif"/>
                <w:b w:val="false"/>
                <w:i/>
                <w:color w:val="000000"/>
                <w:sz w:val="20"/>
              </w:rPr>
              <w:t>See Note 12</w:t>
            </w:r>
            <w:r>
              <w:rPr>
                <w:rFonts w:ascii="Times New Roman;serif" w:hAnsi="Times New Roman;serif"/>
                <w:b w:val="false"/>
                <w:color w:val="000000"/>
                <w:sz w:val="20"/>
              </w:rPr>
              <w:t>)</w:t>
            </w:r>
          </w:p>
        </w:tc>
        <w:tc>
          <w:tcPr>
            <w:tcW w:w="2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 of consolidated entities </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 294,295,573 and 293,508,421 units issued and outstanding</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4,920,729 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4,916,978 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affiliates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held for long-term incentive compensation plans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Partners’ capital attributable to AB Unitholders</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4,795,337</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4,835,154</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 in consolidated entities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4,796,446</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4,836,151</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non-controlling interest and capital</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9,241,119</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9,277,776</w:t>
            </w:r>
            <w:r>
              <w:rPr>
                <w:color w:val="000000"/>
              </w:rPr>
              <w:t>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unit amounts)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678"/>
        <w:gridCol w:w="1124"/>
        <w:gridCol w:w="1135"/>
        <w:gridCol w:w="109"/>
        <w:gridCol w:w="109"/>
        <w:gridCol w:w="109"/>
        <w:gridCol w:w="211"/>
        <w:gridCol w:w="841"/>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55"/>
      </w:tblGrid>
      <w:tr>
        <w:trPr/>
        <w:tc>
          <w:tcPr>
            <w:tcW w:w="167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and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Promotion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execution, marketing, T&amp;E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615,952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458,463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428,982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of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431,266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57"/>
        <w:gridCol w:w="1318"/>
        <w:gridCol w:w="1331"/>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(losses) included in net income upon retirement plan liquidation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related items,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in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255,711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236,505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544,939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491,470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595"/>
        <w:gridCol w:w="1164"/>
        <w:gridCol w:w="1174"/>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Partner’s Capital</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49,519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General Partner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plans activity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issuance of AB Units,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47,832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Limited Partners' Capital</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4,946,323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4,888,248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4,916,978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4,999,616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plans activity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issuance of AB Units,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4,920,729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4,831,485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4,920,729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4,831,485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from Affiliates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awards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from AB Holding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 Holding Units held for Long-term Incentive Compensation Plans</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(62,366)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AB Holding Units for long-term compensation plans,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(issuance) of AB Units,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awards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Revaluation of AB Holding Units held in rabbi trust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(94,436)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(110,581)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5eeb0197ae014db39387fda752c1ee13_37-5-1"/>
            <w:bookmarkEnd w:id="0"/>
            <w:r>
              <w:rPr>
                <w:rFonts w:ascii="Times New Roman;serif" w:hAnsi="Times New Roman;serif"/>
                <w:b w:val="false"/>
                <w:color w:val="000000"/>
                <w:sz w:val="20"/>
              </w:rPr>
              <w:t>(5,768)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 net of tax</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(50,377)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 attributable to AB Unitholders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4,732,083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Non-redeemable Non-controlling Interests in Consolidated Entities</w:t>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Contributions from non-controlling interest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4,796,446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4,733,718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4,796,446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4,733,718</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413" w:type="dxa"/>
        <w:jc w:val="center"/>
        <w:tblInd w:w="0" w:type="dxa"/>
        <w:tblLayout w:type="fixed"/>
        <w:tblCellMar>
          <w:top w:w="28" w:type="dxa"/>
          <w:left w:w="28" w:type="dxa"/>
          <w:bottom w:w="28" w:type="dxa"/>
          <w:right w:w="28" w:type="dxa"/>
        </w:tblCellMar>
      </w:tblPr>
      <w:tblGrid>
        <w:gridCol w:w="2429"/>
        <w:gridCol w:w="2138"/>
        <w:gridCol w:w="2152"/>
        <w:gridCol w:w="211"/>
        <w:gridCol w:w="841"/>
        <w:gridCol w:w="109"/>
        <w:gridCol w:w="109"/>
        <w:gridCol w:w="109"/>
        <w:gridCol w:w="109"/>
        <w:gridCol w:w="211"/>
        <w:gridCol w:w="84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428,982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long-term incentive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equity method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funding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securities, segregated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sales 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of consolidated company-sponsored investment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 of consolidated company-sponsored investment funds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 of consolidated company-sponsored investment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payables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payable and 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compensation and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to relieve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014" w:type="dxa"/>
        <w:jc w:val="center"/>
        <w:tblInd w:w="0" w:type="dxa"/>
        <w:tblLayout w:type="fixed"/>
        <w:tblCellMar>
          <w:top w:w="28" w:type="dxa"/>
          <w:left w:w="28" w:type="dxa"/>
          <w:bottom w:w="28" w:type="dxa"/>
          <w:right w:w="28" w:type="dxa"/>
        </w:tblCellMar>
      </w:tblPr>
      <w:tblGrid>
        <w:gridCol w:w="2653"/>
        <w:gridCol w:w="2329"/>
        <w:gridCol w:w="2338"/>
        <w:gridCol w:w="211"/>
        <w:gridCol w:w="841"/>
        <w:gridCol w:w="109"/>
        <w:gridCol w:w="109"/>
        <w:gridCol w:w="109"/>
        <w:gridCol w:w="109"/>
        <w:gridCol w:w="211"/>
        <w:gridCol w:w="841"/>
        <w:gridCol w:w="154"/>
      </w:tblGrid>
      <w:tr>
        <w:trPr/>
        <w:tc>
          <w:tcPr>
            <w:tcW w:w="2653"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furniture, equipment and leasehold improvements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General Partner and Unitholders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capital invested into consolidated company-sponsored investment funds,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AB Holding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AB Holding Units for long-term incentive compensation plan awards,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(818,203)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(491,720)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beginning of the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as of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902,323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854,747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words “we” and “our” refer collectively to AllianceBernstein L.P. and its subsidiaries (“AB”), or to their officers and employees. Similarly, the word “company” refers to AB. These statements should be read in conjunction with AB’s audited consolidated financial statements included in AB’s Form 10-K for the year ended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 xml:space="preserve">Business Description, Organization and Basis of Presentation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diversified investment management and related services globally to a broad range of clients. Our principal services include: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Institutional Services</w:t>
      </w:r>
      <w:r>
        <w:rPr>
          <w:color w:val="000000"/>
        </w:rPr>
        <w:t xml:space="preserve"> – </w:t>
      </w:r>
      <w:r>
        <w:rPr>
          <w:rFonts w:ascii="Times New Roman;serif" w:hAnsi="Times New Roman;serif"/>
          <w:b w:val="false"/>
          <w:color w:val="000000"/>
          <w:sz w:val="20"/>
        </w:rPr>
        <w:t xml:space="preserve">servicing our institutional clients, including private and public pension plans, foundations and endowments, insurance companies, central banks and governments worldwide, and affiliates such as Equitable Holdings, Inc. ("EQH") and its subsidiaries, by means of separately-managed accounts, sub-advisory relationships, structured products, collective investment trusts, mutual funds, hedge funds and other investment vehicles.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Retail Services</w:t>
      </w:r>
      <w:r>
        <w:rPr>
          <w:color w:val="000000"/>
        </w:rPr>
        <w:t xml:space="preserve"> – </w:t>
      </w:r>
      <w:r>
        <w:rPr>
          <w:rFonts w:ascii="Times New Roman;serif" w:hAnsi="Times New Roman;serif"/>
          <w:b w:val="false"/>
          <w:color w:val="000000"/>
          <w:sz w:val="20"/>
        </w:rPr>
        <w:t xml:space="preserve">servicing our retail clients, primarily by means of retail mutual funds sponsored by AB or an affiliated company, sub-advisory relationships with mutual funds sponsored by third parties, separately-managed account programs sponsored by financial intermediaries worldwide and other investment vehicles.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Private Wealth Management</w:t>
      </w:r>
      <w:r>
        <w:rPr>
          <w:color w:val="000000"/>
        </w:rPr>
        <w:t xml:space="preserve"> – </w:t>
      </w:r>
      <w:r>
        <w:rPr>
          <w:rFonts w:ascii="Times New Roman;serif" w:hAnsi="Times New Roman;serif"/>
          <w:b w:val="false"/>
          <w:color w:val="000000"/>
          <w:sz w:val="20"/>
        </w:rPr>
        <w:t xml:space="preserve">servicing our private clients, including high-net-worth individuals and families, trusts and estates, charitable foundations, partnerships, private and family corporations, and other entities, by means of separately-managed accounts, hedge funds, mutual funds and other investment vehicles.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provide distribution, shareholder servicing, transfer agency services and administrative services to the mutual funds we sponsor.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high-quality, in-depth research is the foundation of our asset management and private wealth management businesses. AB’s research disciplines include economic, equity, fixed income and quantitative research. In addition, AB has expertise in multi-asset strategies, wealth management, environmental, social and corporate governance ("ESG"), and alternative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a broad range of investment services with expertise in:</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Equities,</w:t>
      </w:r>
      <w:r>
        <w:rPr>
          <w:color w:val="000000"/>
        </w:rPr>
        <w:t xml:space="preserve"> </w:t>
      </w:r>
      <w:r>
        <w:rPr>
          <w:rFonts w:ascii="Times New Roman;serif" w:hAnsi="Times New Roman;serif"/>
          <w:b w:val="false"/>
          <w:color w:val="000000"/>
          <w:sz w:val="20"/>
        </w:rPr>
        <w:t>including actively managed strategies across global and regional markets and capitalization ranges, spanning growth, value, core, defensive, thematic, and sustainable approaches, with varying degrees of active risk, concentration, and benchmark sensitivity;</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Fixed Income</w:t>
      </w:r>
      <w:r>
        <w:rPr>
          <w:rFonts w:ascii="Times New Roman;serif" w:hAnsi="Times New Roman;serif"/>
          <w:b w:val="false"/>
          <w:color w:val="000000"/>
          <w:sz w:val="20"/>
        </w:rPr>
        <w:t>, including actively managed traditional and unconstrained strategies across taxable and tax-exempt markets, encompassing government, corporate, securitized, emerging market, and municipal securities, with a focus on income generation, risk management, liquidity, and diversification;</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Multi-Asset Solutions</w:t>
      </w:r>
      <w:r>
        <w:rPr>
          <w:rFonts w:ascii="Times New Roman;serif" w:hAnsi="Times New Roman;serif"/>
          <w:b w:val="false"/>
          <w:color w:val="000000"/>
          <w:sz w:val="20"/>
        </w:rPr>
        <w:t>, including outcome-oriented and asset-allocation strategies such as target-date, target-risk, income, and total-return portfolios, as well as customized multi-asset solutions designed to meet specific client objectives;</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Hedge Fund Strategies</w:t>
      </w:r>
      <w:r>
        <w:rPr>
          <w:rFonts w:ascii="Times New Roman;serif" w:hAnsi="Times New Roman;serif"/>
          <w:b w:val="false"/>
          <w:color w:val="000000"/>
          <w:sz w:val="20"/>
        </w:rPr>
        <w:t>, including fundamental and systematic hedge funds, equity market neutral, event-driven, macro, and fund-of-funds strategies, focused on delivering diversified, idiosyncratic return streams with controlled market exposure;</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Private Alternatives</w:t>
      </w:r>
      <w:r>
        <w:rPr>
          <w:rFonts w:ascii="Times New Roman;serif" w:hAnsi="Times New Roman;serif"/>
          <w:b w:val="false"/>
          <w:color w:val="000000"/>
          <w:sz w:val="20"/>
        </w:rPr>
        <w:t>, including private credit, asset-based finance, real assets, real estate debt, and specialty finance strategies, where returns are driven by underwriting discipline, structure, selectivity, and active portfolio management rather than public market beta; and</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Systematic Strategies</w:t>
      </w:r>
      <w:r>
        <w:rPr>
          <w:rFonts w:ascii="Times New Roman;serif" w:hAnsi="Times New Roman;serif"/>
          <w:b w:val="false"/>
          <w:color w:val="000000"/>
          <w:sz w:val="20"/>
        </w:rPr>
        <w:t>, including alpha-seeking and risk-controlled approaches that apply quantitative research, data-driven signals, and disciplined portfolio construction across equity and fixed income markets, as well as passive index, ESG index, and enhanced index solutions designed to provide efficient market exposure.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AllianceBernstein Corporation (an indirect wholly-owned subsidiary of EQH, “General Partner”) is the general partner of both AllianceBernstein Holding L.P. (“AB Holding”) and AB. AllianceBernstein Corporation owns 100,000 general partnership units in AB Holding and a 1.0% general partnership interest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ownership structure of AB, including limited partnership units outstanding as well as the general partner's 1.0% interest, was as follows: </w:t>
      </w:r>
    </w:p>
    <w:p>
      <w:pPr>
        <w:pStyle w:val="TextBody"/>
        <w:bidi w:val="0"/>
        <w:spacing w:before="0" w:after="0"/>
        <w:jc w:val="both"/>
        <w:rPr/>
      </w:pPr>
      <w:r>
        <w:rPr/>
      </w:r>
    </w:p>
    <w:tbl>
      <w:tblPr>
        <w:tblW w:w="3031" w:type="dxa"/>
        <w:jc w:val="left"/>
        <w:tblInd w:w="0" w:type="dxa"/>
        <w:tblLayout w:type="fixed"/>
        <w:tblCellMar>
          <w:top w:w="28" w:type="dxa"/>
          <w:left w:w="28" w:type="dxa"/>
          <w:bottom w:w="28" w:type="dxa"/>
          <w:right w:w="28" w:type="dxa"/>
        </w:tblCellMar>
      </w:tblPr>
      <w:tblGrid>
        <w:gridCol w:w="759"/>
        <w:gridCol w:w="668"/>
        <w:gridCol w:w="672"/>
        <w:gridCol w:w="307"/>
        <w:gridCol w:w="309"/>
        <w:gridCol w:w="31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and its subsidiaries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Unaffiliated holders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both the general partnership and limited partnership interests in AB Holding and AB, EQH and its subsidiaries had an approximate 68.1% economic interest in AB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have been prepared in accordance with the instructions to Form 10-Q pursuant to the rules and regulations of the U.S. Securities and Exchange Commission (“SEC”). In the opinion of management, all adjustments, consisting only of normal recurring adjustments, necessary for a fair statement of the interim results, have been made. The preparation of the condensed consolidated financial statements requires management to make certain estimates and assumptions that affect the reported amounts of assets and liabilities and disclosure of contingent assets and liabilities at the dates of the condensed consolidated financial statements and the reported amounts of revenues and expenses during the interim reporting periods. Actual results could differ from those estimates. The condensed consolidated statement of financial condition as of December 31, 2025 was derived from audited financial statements. Certain disclosures included in the annual financial statements have been condensed or omitted from these financial statements as they are not required for interim financial statements under principles generally accepted in the United States of America ("GAAP") and the rules of the SEC.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Principles of Consolidation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AB and its majority-owned and/or controlled subsidiaries, and the consolidated entities that are considered to be variable interest entities (“VIEs”) and/or voting interest entities (“VOEs”) in which AB has a controlling financial interest. Non-controlling interests on the condensed consolidated statements of financial condition include the portion of consolidated company-sponsored investment funds in which we do not have direct equity ownership. All significant inter-company transactions and balances among the consolidated entities have been eliminated.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2026, amounts previously presented on the condensed consolidated statements of income as "contingent payment arrangements" are now presented as part of "amortization of intangible assets." Prior period amounts previously presented as such have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these financial statements were filed with the SEC and did not identify any subsequent events that would require disclosure in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This amendment is expected to improve financial reporting by requiring that public business entities disclose additional information about specific expense categories in the notes to financial statements at interim and annual reporting periods. This information is not generally presented in the financial statements today. The amendments in this update do not change or remove current expense disclosure requirements. This ASU is effective for annual reporting periods beginning after December 15, 2026, and interim reporting periods beginning after December 15, 2027. Early adoption is permitted. The amendments in this update should be applied either prospectively to financial statements issued for reporting periods after the effective date of this update or retrospectively to any or all periods presented in the financial statements. We are currently evaluating the impacts of the new standard.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3. Revenue Recognition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for the three and six months ended June 30, 2026 and 2025 consisted of the following:</w:t>
      </w:r>
    </w:p>
    <w:tbl>
      <w:tblPr>
        <w:tblW w:w="10205" w:type="dxa"/>
        <w:jc w:val="center"/>
        <w:tblInd w:w="0" w:type="dxa"/>
        <w:tblLayout w:type="fixed"/>
        <w:tblCellMar>
          <w:top w:w="28" w:type="dxa"/>
          <w:left w:w="28" w:type="dxa"/>
          <w:bottom w:w="28" w:type="dxa"/>
          <w:right w:w="28" w:type="dxa"/>
        </w:tblCellMar>
      </w:tblPr>
      <w:tblGrid>
        <w:gridCol w:w="1600"/>
        <w:gridCol w:w="1116"/>
        <w:gridCol w:w="891"/>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5"/>
      </w:tblGrid>
      <w:tr>
        <w:trPr/>
        <w:tc>
          <w:tcPr>
            <w:tcW w:w="160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advisory and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All-in-management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12b-1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distribution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 related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2,159,856 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subject to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 and interest income, net of broker-dealer 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4.    Long-term Incentive Compensation Plans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several unfunded, non-qualified long-term incentive compensation plans, under which we grant annual awards to employees, generally in the fourth quarter, and to members of the Board of Directors of the General Partner, who are not employed by our company or by any of our affiliates (“Eligible Directors”).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AB Holding Units are maintained in a consolidated rabbi trust either by purchasing AB Holding Units on the open market or by purchasing newly-issued AB Holding Units from AB Holding until delivering them or retiring them. In accordance with the Amended and Restated Agreement of Limited Partnership of AB (“AB Partnership Agreement”), when AB purchases newly-issued AB Holding Units from AB Holding, AB Holding is required to use the proceeds it receives from AB to purchase the equivalent number of newly-issued AB Units, thus increasing its percentage ownership interest in AB.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Units held in the consolidated rabbi trust are corporate assets in the name of the trust and are available to the general creditors of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AB Holding Units for the three and six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699"/>
        <w:gridCol w:w="1494"/>
        <w:gridCol w:w="1504"/>
        <w:gridCol w:w="109"/>
        <w:gridCol w:w="109"/>
        <w:gridCol w:w="109"/>
        <w:gridCol w:w="265"/>
        <w:gridCol w:w="643"/>
        <w:gridCol w:w="136"/>
        <w:gridCol w:w="136"/>
        <w:gridCol w:w="136"/>
        <w:gridCol w:w="136"/>
        <w:gridCol w:w="265"/>
        <w:gridCol w:w="643"/>
        <w:gridCol w:w="136"/>
        <w:gridCol w:w="109"/>
        <w:gridCol w:w="109"/>
        <w:gridCol w:w="109"/>
        <w:gridCol w:w="244"/>
        <w:gridCol w:w="591"/>
        <w:gridCol w:w="126"/>
        <w:gridCol w:w="126"/>
        <w:gridCol w:w="126"/>
        <w:gridCol w:w="126"/>
        <w:gridCol w:w="244"/>
        <w:gridCol w:w="591"/>
        <w:gridCol w:w="184"/>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amount of AB Holding Units Purchased/Retained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Total Cash Paid for AB Holding Units Purchased/Retained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Open Market Purchases of AB Holding Units Purchased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Open Market Purchases of AB Holding Units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AB Holding Units reflected on the condensed consolidated statements of cash flows are net of AB Holding Unit purchases by employees as part of a distribution reinvestment election.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quarter, we consider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we select has the authority under the terms and limitations specified in the plan to repurchase AB Holding Units on our behalf. Repurchases are subject to regulations promulgated by the SEC as well as certain price, market volume and timing constraints specified in the plan. The plan adopted during the second quarter of 2026 expired at the close of business on July 27, 2026. We may adopt additional plans in the future to engage in open-market purchases of AB Holding Units for anticipated obligations under our incentive compensation award program and for other corporate purposes.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and 2025, we awarded to employees and Eligible Directors 1.6 million and 1.2 million restricted AB Holding Unit awards, respectively. We use AB Holding Units repurchased during the applicable period and newly-issued AB Holding Units for these awards.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5.     Net Income per Unit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per Unit is derived by reducing net income for the 1.0% general partnership interest and dividing the remaining 99.0% by the weighted average number of limited partnership units outstanding for each period. Diluted net income per Unit is equivalent to net income per Unit, as there are no outstanding instruments that have a dilutive effect.</w:t>
      </w:r>
    </w:p>
    <w:tbl>
      <w:tblPr>
        <w:tblW w:w="10205" w:type="dxa"/>
        <w:jc w:val="left"/>
        <w:tblInd w:w="0" w:type="dxa"/>
        <w:tblLayout w:type="fixed"/>
        <w:tblCellMar>
          <w:top w:w="28" w:type="dxa"/>
          <w:left w:w="28" w:type="dxa"/>
          <w:bottom w:w="28" w:type="dxa"/>
          <w:right w:w="28" w:type="dxa"/>
        </w:tblCellMar>
      </w:tblPr>
      <w:tblGrid>
        <w:gridCol w:w="1543"/>
        <w:gridCol w:w="1356"/>
        <w:gridCol w:w="1364"/>
        <w:gridCol w:w="109"/>
        <w:gridCol w:w="109"/>
        <w:gridCol w:w="109"/>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limited partnership Units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6. Cash Distributions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is required to distribute all of its Available Cash Flow, as defined in the AB Partnership Agreement, to its Unitholders and to the General Partner. Available Cash Flow can be summarized as the cash flow received by AB from operations minus such amounts as the General Partner determines, in its sole discretion, should be retained by AB for use in its business, or plus such amounts as the General Partner determines, in its sole discretion, should be released from previously retained cash flow.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Typically, Available Cash Flow has been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the General Partner declared a distribution of $0.91 per AB Unit, representing a distribution of Available Cash Flow for the three months ended June 30, 2026. The General Partner, as a result of its 1.0% general partnership interest, is entitled to receive 1.0% of each distribution. The distribution is payable on August 27, 2026 to holders of record on August 12,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7.     Cash and Securities Segregated Under Federal Regulations and Other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$227.7 million and $498.6 million, respectively, of U.S. Treasury Bills were segregated in a special reserve bank custody account for the exclusive benefit of our brokerage customers under Rule 15c3-3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8.     Investments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consist of:</w:t>
      </w:r>
    </w:p>
    <w:tbl>
      <w:tblPr>
        <w:tblW w:w="6782" w:type="dxa"/>
        <w:jc w:val="left"/>
        <w:tblInd w:w="0" w:type="dxa"/>
        <w:tblLayout w:type="fixed"/>
        <w:tblCellMar>
          <w:top w:w="28" w:type="dxa"/>
          <w:left w:w="28" w:type="dxa"/>
          <w:bottom w:w="28" w:type="dxa"/>
          <w:right w:w="28" w:type="dxa"/>
        </w:tblCellMar>
      </w:tblPr>
      <w:tblGrid>
        <w:gridCol w:w="1444"/>
        <w:gridCol w:w="1270"/>
        <w:gridCol w:w="1276"/>
        <w:gridCol w:w="211"/>
        <w:gridCol w:w="841"/>
        <w:gridCol w:w="109"/>
        <w:gridCol w:w="109"/>
        <w:gridCol w:w="109"/>
        <w:gridCol w:w="109"/>
        <w:gridCol w:w="228"/>
        <w:gridCol w:w="910"/>
        <w:gridCol w:w="166"/>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incentive compensation-related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Seed capital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limited partnership hedge funds: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compensation-related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Joint ventures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equity method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433,409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531,013</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investments related to long-term incentive compensation obligations of $42.7 million and $54.1 million as of June 30, 2026 and December 31, 2025, respectively, consist of company-sponsored mutual funds and hedge funds. For long-term incentive compensation awards granted before 2009, we typically made investments in company-sponsored mutual funds and hedge funds that were notionally elected by plan participants and maintained them (and continue to maintain them) in a consolidated rabbi trust or separate custodial account. The rabbi trust and custodial account enable us to hold such investments separate from our other assets for the purpose of settling our obligations to participants. The investments held in the rabbi trust and custodial account remain available to the general creditors of AB.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underlying investments of hedge funds in which we invest include long and short positions in equity securities, fixed income securities (including various agency and non-agency asset-based securities), currencies, commodities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(including various swaps and forward contracts). These investments are valued at quoted market prices or, where quoted market prices are not available, are fair valued based on the pricing policies and procedures of the underlying funds.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allocate seed capital to our investment teams to help develop new products and services for our clients. A portion of our seed capital trading investments are equity and fixed income products, primarily in the form of separately-managed account portfolios, U.S. mutual funds, Luxembourg funds, Japanese investment trust management funds or Delaware business trusts. We also may allocate seed capital to investments in private equity funds and other private alternative investment vehicles. Regarding our seed capital investments, the amounts above reflect those funds in which we are not the primary beneficiary of a VIE or hold a controlling financial interest in a VOE. </w:t>
      </w: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a description of the seed capital investments that we consolidate. As of June 30, 2026 and December 31, 2025, our total seed capital investments were $383.1 million and $372.1 million, respectively. Seed capital investments in unconsolidated company-sponsored investment funds are valued using published net asset values or non-published net asset values if they are not listed on an active exchange but have net asset values that are comparable to funds with published net asset values and have no redemption restrictions.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in the joint venture on the condensed consolidated statement of financial condition is accounted for under the equity method of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portion of unrealized gains (losses) related to equity securities, as defined by ASC 321-10, held as of June 30, 2026 and 2025 were as follows: </w:t>
      </w:r>
    </w:p>
    <w:tbl>
      <w:tblPr>
        <w:tblW w:w="10205" w:type="dxa"/>
        <w:jc w:val="left"/>
        <w:tblInd w:w="0" w:type="dxa"/>
        <w:tblLayout w:type="fixed"/>
        <w:tblCellMar>
          <w:top w:w="28" w:type="dxa"/>
          <w:left w:w="28" w:type="dxa"/>
          <w:bottom w:w="28" w:type="dxa"/>
          <w:right w:w="28" w:type="dxa"/>
        </w:tblCellMar>
      </w:tblPr>
      <w:tblGrid>
        <w:gridCol w:w="1681"/>
        <w:gridCol w:w="1465"/>
        <w:gridCol w:w="1471"/>
        <w:gridCol w:w="109"/>
        <w:gridCol w:w="109"/>
        <w:gridCol w:w="109"/>
        <w:gridCol w:w="222"/>
        <w:gridCol w:w="758"/>
        <w:gridCol w:w="114"/>
        <w:gridCol w:w="114"/>
        <w:gridCol w:w="114"/>
        <w:gridCol w:w="114"/>
        <w:gridCol w:w="222"/>
        <w:gridCol w:w="758"/>
        <w:gridCol w:w="114"/>
        <w:gridCol w:w="109"/>
        <w:gridCol w:w="109"/>
        <w:gridCol w:w="109"/>
        <w:gridCol w:w="211"/>
        <w:gridCol w:w="666"/>
        <w:gridCol w:w="109"/>
        <w:gridCol w:w="109"/>
        <w:gridCol w:w="109"/>
        <w:gridCol w:w="109"/>
        <w:gridCol w:w="211"/>
        <w:gridCol w:w="722"/>
        <w:gridCol w:w="158"/>
      </w:tblGrid>
      <w:tr>
        <w:trPr/>
        <w:tc>
          <w:tcPr>
            <w:tcW w:w="168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recognized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gains recognized during the period on equity securities sold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gains (losses) recognized during the period on equity securities 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9,298</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4,641</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9.     Derivative Instruments </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derivative instruments held by our consolidated company-sponsored investment funds.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enter various futures, forwards, options and swaps to economically hedge certain seed capital investments. Also, we have currency forwards that help us to economically hedge certain balance sheet exposures. We do not hold any derivatives designated in a formal hedge relationship under ASC 815-10,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w:t>
      </w:r>
    </w:p>
    <w:p>
      <w:pPr>
        <w:pStyle w:val="TextBody"/>
        <w:bidi w:val="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The notional value and fair value as of June 30, 2026 and December 31, 2025 for derivative instruments (excluding derivative instruments relating to our options desk trading activities </w:t>
      </w:r>
      <w:r>
        <w:rPr>
          <w:rFonts w:ascii="Times New Roman;serif" w:hAnsi="Times New Roman;serif"/>
          <w:b w:val="false"/>
          <w:i/>
          <w:color w:val="000000"/>
          <w:sz w:val="20"/>
        </w:rPr>
        <w:t>discussed below</w:t>
      </w:r>
      <w:r>
        <w:rPr>
          <w:rFonts w:ascii="Times New Roman;serif" w:hAnsi="Times New Roman;serif"/>
          <w:b w:val="false"/>
          <w:color w:val="000000"/>
          <w:sz w:val="20"/>
        </w:rPr>
        <w:t xml:space="preserve">) not designated as hedging instruments were as follows: </w:t>
      </w:r>
    </w:p>
    <w:tbl>
      <w:tblPr>
        <w:tblW w:w="7656" w:type="dxa"/>
        <w:jc w:val="left"/>
        <w:tblInd w:w="0" w:type="dxa"/>
        <w:tblLayout w:type="fixed"/>
        <w:tblCellMar>
          <w:top w:w="28" w:type="dxa"/>
          <w:left w:w="28" w:type="dxa"/>
          <w:bottom w:w="28" w:type="dxa"/>
          <w:right w:w="28" w:type="dxa"/>
        </w:tblCellMar>
      </w:tblPr>
      <w:tblGrid>
        <w:gridCol w:w="758"/>
        <w:gridCol w:w="666"/>
        <w:gridCol w:w="676"/>
        <w:gridCol w:w="250"/>
        <w:gridCol w:w="1000"/>
        <w:gridCol w:w="129"/>
        <w:gridCol w:w="109"/>
        <w:gridCol w:w="109"/>
        <w:gridCol w:w="109"/>
        <w:gridCol w:w="311"/>
        <w:gridCol w:w="1087"/>
        <w:gridCol w:w="161"/>
        <w:gridCol w:w="109"/>
        <w:gridCol w:w="109"/>
        <w:gridCol w:w="109"/>
        <w:gridCol w:w="376"/>
        <w:gridCol w:w="1314"/>
        <w:gridCol w:w="274"/>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881,902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12,747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17,731</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876,144</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12,985</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17,615</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derivative assets and liabilities are included in both receivables and payables to brokers and dealers on our condensed consolidated statements of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gains and losses for derivative instruments for the three and six months ended June 30, 2026 and 2025 recognized in investment gains (losses) in the condensed consolidated statements of income were as follows: </w:t>
      </w:r>
    </w:p>
    <w:tbl>
      <w:tblPr>
        <w:tblW w:w="8699" w:type="dxa"/>
        <w:jc w:val="left"/>
        <w:tblInd w:w="0" w:type="dxa"/>
        <w:tblLayout w:type="fixed"/>
        <w:tblCellMar>
          <w:top w:w="28" w:type="dxa"/>
          <w:left w:w="28" w:type="dxa"/>
          <w:bottom w:w="28" w:type="dxa"/>
          <w:right w:w="28" w:type="dxa"/>
        </w:tblCellMar>
      </w:tblPr>
      <w:tblGrid>
        <w:gridCol w:w="1179"/>
        <w:gridCol w:w="1037"/>
        <w:gridCol w:w="1038"/>
        <w:gridCol w:w="216"/>
        <w:gridCol w:w="816"/>
        <w:gridCol w:w="111"/>
        <w:gridCol w:w="111"/>
        <w:gridCol w:w="111"/>
        <w:gridCol w:w="111"/>
        <w:gridCol w:w="216"/>
        <w:gridCol w:w="816"/>
        <w:gridCol w:w="111"/>
        <w:gridCol w:w="109"/>
        <w:gridCol w:w="109"/>
        <w:gridCol w:w="109"/>
        <w:gridCol w:w="211"/>
        <w:gridCol w:w="691"/>
        <w:gridCol w:w="109"/>
        <w:gridCol w:w="109"/>
        <w:gridCol w:w="109"/>
        <w:gridCol w:w="109"/>
        <w:gridCol w:w="211"/>
        <w:gridCol w:w="79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(losses) on derivative instruments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(13,522)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(11,074)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(23,850)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exposed to credit-related losses in the event of non-performance by counterparties to derivative financial instruments. We minimize our counterparty exposure through a credit review and approval process. In addition, we have executed various collateral arrangements with counterparties to the over-the-counter derivative transactions that require both pledging and accepting collateral in the form of cash. As of June 30, 2026 and December 31, 2025, we held $4.8 million and $5.5 million, respectively, of cash collateral payable to trade counterparties. This obligation to return cash is reported in payables to brokers and dealers in our condensed consolidated statements of financial condition.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Although notional amount typically is utilized as the measure of volume in the derivatives market, it is not used as a measure of credit risk. Generally, the current credit exposure of our derivative contracts is limited to the net positive estimated fair value of derivative contracts at the reporting date after taking into consideration the existence of netting agreements and any collateral received. A derivative with positive value (a derivative asset) indicates existence of credit risk because the counterparty would owe us if the contract were closed. Alternatively, a derivative contract with negative value (a derivative liability) indicates we would owe money to the counterparty if the contract were closed. Generally, if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more than one derivative transaction with a single counterparty, a master netting arrangement exists with respect to derivative transactions with that counterparty to provide for aggregate net settlement.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standardized contracts for over-the-counter derivative transactions, known as ISDA master agreements, provide for collateralization. As of June 30, 2026 and December 31, 2025, we delivered $13.1 million and $10.3 million, respectively, of cash collateral into brokerage accounts. We report this cash collateral in cash and cash equivalents in our condensed consolidated statement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     Offsetting Assets and Liabilities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offsetting assets and liabilities of our consolidated company-sponsored investment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assets as of June 30, 2026 and December 31, 2025 was as follows: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25"/>
        <w:gridCol w:w="290"/>
        <w:gridCol w:w="210"/>
        <w:gridCol w:w="261"/>
        <w:gridCol w:w="894"/>
        <w:gridCol w:w="136"/>
        <w:gridCol w:w="109"/>
        <w:gridCol w:w="109"/>
        <w:gridCol w:w="109"/>
        <w:gridCol w:w="400"/>
        <w:gridCol w:w="774"/>
        <w:gridCol w:w="209"/>
        <w:gridCol w:w="109"/>
        <w:gridCol w:w="109"/>
        <w:gridCol w:w="109"/>
        <w:gridCol w:w="315"/>
        <w:gridCol w:w="1079"/>
        <w:gridCol w:w="163"/>
        <w:gridCol w:w="109"/>
        <w:gridCol w:w="109"/>
        <w:gridCol w:w="109"/>
        <w:gridCol w:w="228"/>
        <w:gridCol w:w="857"/>
        <w:gridCol w:w="117"/>
        <w:gridCol w:w="109"/>
        <w:gridCol w:w="109"/>
        <w:gridCol w:w="109"/>
        <w:gridCol w:w="219"/>
        <w:gridCol w:w="689"/>
        <w:gridCol w:w="113"/>
        <w:gridCol w:w="109"/>
        <w:gridCol w:w="109"/>
        <w:gridCol w:w="109"/>
        <w:gridCol w:w="211"/>
        <w:gridCol w:w="616"/>
        <w:gridCol w:w="164"/>
      </w:tblGrid>
      <w:tr>
        <w:trPr/>
        <w:tc>
          <w:tcPr>
            <w:tcW w:w="6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Assets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Amount</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borrowed</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borrowed</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liabilities as of June 30, 2026 and December 31, 2025 was as follows: </w:t>
      </w:r>
    </w:p>
    <w:tbl>
      <w:tblPr>
        <w:tblW w:w="10205" w:type="dxa"/>
        <w:jc w:val="left"/>
        <w:tblInd w:w="0" w:type="dxa"/>
        <w:tblLayout w:type="fixed"/>
        <w:tblCellMar>
          <w:top w:w="28" w:type="dxa"/>
          <w:left w:w="28" w:type="dxa"/>
          <w:bottom w:w="28" w:type="dxa"/>
          <w:right w:w="28" w:type="dxa"/>
        </w:tblCellMar>
      </w:tblPr>
      <w:tblGrid>
        <w:gridCol w:w="557"/>
        <w:gridCol w:w="355"/>
        <w:gridCol w:w="205"/>
        <w:gridCol w:w="263"/>
        <w:gridCol w:w="901"/>
        <w:gridCol w:w="137"/>
        <w:gridCol w:w="109"/>
        <w:gridCol w:w="109"/>
        <w:gridCol w:w="109"/>
        <w:gridCol w:w="386"/>
        <w:gridCol w:w="746"/>
        <w:gridCol w:w="201"/>
        <w:gridCol w:w="109"/>
        <w:gridCol w:w="109"/>
        <w:gridCol w:w="109"/>
        <w:gridCol w:w="310"/>
        <w:gridCol w:w="1062"/>
        <w:gridCol w:w="160"/>
        <w:gridCol w:w="109"/>
        <w:gridCol w:w="109"/>
        <w:gridCol w:w="109"/>
        <w:gridCol w:w="345"/>
        <w:gridCol w:w="666"/>
        <w:gridCol w:w="180"/>
        <w:gridCol w:w="109"/>
        <w:gridCol w:w="109"/>
        <w:gridCol w:w="109"/>
        <w:gridCol w:w="216"/>
        <w:gridCol w:w="762"/>
        <w:gridCol w:w="111"/>
        <w:gridCol w:w="109"/>
        <w:gridCol w:w="109"/>
        <w:gridCol w:w="109"/>
        <w:gridCol w:w="214"/>
        <w:gridCol w:w="625"/>
        <w:gridCol w:w="168"/>
      </w:tblGrid>
      <w:tr>
        <w:trPr/>
        <w:tc>
          <w:tcPr>
            <w:tcW w:w="55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Liabilities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loaned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loaned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collateral, whether pledged or received on derivative instruments, is not considered material and, accordingly, is not disclosed by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     Fair Value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fair value of our consolidated company-sponsored investment funds.</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Fair value is defined as the price that would be received to sell an asset or paid to transfer a liability (</w:t>
      </w:r>
      <w:r>
        <w:rPr>
          <w:rFonts w:ascii="Times New Roman;serif" w:hAnsi="Times New Roman;serif"/>
          <w:b w:val="false"/>
          <w:i/>
          <w:color w:val="000000"/>
          <w:sz w:val="20"/>
        </w:rPr>
        <w:t>i.e.</w:t>
      </w:r>
      <w:r>
        <w:rPr>
          <w:rFonts w:ascii="Times New Roman;serif" w:hAnsi="Times New Roman;serif"/>
          <w:b w:val="false"/>
          <w:color w:val="000000"/>
          <w:sz w:val="20"/>
        </w:rPr>
        <w:t xml:space="preserve">, the “exit price”) in an orderly transaction between market participants at the measurement date. The three broad levels of fair value hierarchy are as follows: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Level 1 – Quoted prices in active markets are available for identical assets or liabilities as of the reported date. </w:t>
      </w:r>
    </w:p>
    <w:p>
      <w:pPr>
        <w:pStyle w:val="TextBody"/>
        <w:bidi w:val="0"/>
        <w:spacing w:before="0" w:after="0"/>
        <w:jc w:val="both"/>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Level 2 – Quoted prices in markets that are not active or other pricing inputs that are either directly or indirectly observable as of the reported date. </w:t>
      </w:r>
    </w:p>
    <w:p>
      <w:pPr>
        <w:pStyle w:val="TextBody"/>
        <w:bidi w:val="0"/>
        <w:spacing w:before="0" w:after="0"/>
        <w:jc w:val="both"/>
        <w:rPr/>
      </w:pPr>
      <w:r>
        <w:rPr/>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 xml:space="preserve">Level 3 – Prices or valuation techniques that are both significant to the fair value measurement and unobservable as of the reported date. These financial instruments do not have two-way markets and are measured using management’s best estimate of fair value, where the inputs into the determination of fair value require significant management judgment or estimation.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Assets and Liabilities Measured at Fair Value on a Recurring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of our financial instruments by pricing observability levels as of June 30, 2026 and December 31, 2025 was as follows (in thousands): </w:t>
      </w:r>
    </w:p>
    <w:tbl>
      <w:tblPr>
        <w:tblW w:w="10205" w:type="dxa"/>
        <w:jc w:val="left"/>
        <w:tblInd w:w="0" w:type="dxa"/>
        <w:tblLayout w:type="fixed"/>
        <w:tblCellMar>
          <w:top w:w="28" w:type="dxa"/>
          <w:left w:w="28" w:type="dxa"/>
          <w:bottom w:w="28" w:type="dxa"/>
          <w:right w:w="28" w:type="dxa"/>
        </w:tblCellMar>
      </w:tblPr>
      <w:tblGrid>
        <w:gridCol w:w="1097"/>
        <w:gridCol w:w="869"/>
        <w:gridCol w:w="832"/>
        <w:gridCol w:w="211"/>
        <w:gridCol w:w="841"/>
        <w:gridCol w:w="109"/>
        <w:gridCol w:w="109"/>
        <w:gridCol w:w="109"/>
        <w:gridCol w:w="109"/>
        <w:gridCol w:w="211"/>
        <w:gridCol w:w="841"/>
        <w:gridCol w:w="109"/>
        <w:gridCol w:w="109"/>
        <w:gridCol w:w="109"/>
        <w:gridCol w:w="109"/>
        <w:gridCol w:w="211"/>
        <w:gridCol w:w="631"/>
        <w:gridCol w:w="109"/>
        <w:gridCol w:w="109"/>
        <w:gridCol w:w="109"/>
        <w:gridCol w:w="109"/>
        <w:gridCol w:w="406"/>
        <w:gridCol w:w="782"/>
        <w:gridCol w:w="211"/>
        <w:gridCol w:w="109"/>
        <w:gridCol w:w="109"/>
        <w:gridCol w:w="109"/>
        <w:gridCol w:w="109"/>
        <w:gridCol w:w="109"/>
        <w:gridCol w:w="211"/>
        <w:gridCol w:w="841"/>
        <w:gridCol w:w="157"/>
      </w:tblGrid>
      <w:tr>
        <w:trPr/>
        <w:tc>
          <w:tcPr>
            <w:tcW w:w="10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NAV Expedient</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segregated (U.S. Treasury Bills)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506,329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payment arrangements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26,420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segregated (U.S. Treasury Bills)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577,321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907,566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payment arrangements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Investments measured at fair value using NAV (or its equivalent) as a practical expedient.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investments included in Level 1 of the fair value hierarchy include our investment in a mutual fund measured at fair value.</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i/>
          <w:color w:val="000000"/>
          <w:sz w:val="20"/>
        </w:rPr>
        <w:t>provide below</w:t>
      </w:r>
      <w:r>
        <w:rPr>
          <w:color w:val="000000"/>
        </w:rPr>
        <w:t xml:space="preserve"> </w:t>
      </w:r>
      <w:r>
        <w:rPr>
          <w:rFonts w:ascii="Times New Roman;serif" w:hAnsi="Times New Roman;serif"/>
          <w:b w:val="false"/>
          <w:color w:val="000000"/>
          <w:sz w:val="20"/>
        </w:rPr>
        <w:t xml:space="preserve">a description of the fair value methodologies used for instruments measured at fair value, as well as the general classification of such instruments pursuant to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Money markets</w:t>
      </w:r>
      <w:r>
        <w:rPr>
          <w:rFonts w:ascii="Times New Roman;serif" w:hAnsi="Times New Roman;serif"/>
          <w:b w:val="false"/>
          <w:color w:val="000000"/>
          <w:sz w:val="20"/>
        </w:rPr>
        <w:t xml:space="preserve">: We invest excess cash in various money market funds that are valued based on quoted prices in active markets; these are included in Level 1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Treasury Bills</w:t>
      </w:r>
      <w:r>
        <w:rPr>
          <w:rFonts w:ascii="Times New Roman;serif" w:hAnsi="Times New Roman;serif"/>
          <w:b w:val="false"/>
          <w:color w:val="000000"/>
          <w:sz w:val="20"/>
        </w:rPr>
        <w:t xml:space="preserve">: We hold U.S. Treasury Bills, which are primarily segregated in a special reserve bank custody account as required by Rule 15c3-3 of the Exchange Act. These securities are valued based on quoted yields in secondary markets and are included in Level 2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Equity securities</w:t>
      </w:r>
      <w:r>
        <w:rPr>
          <w:rFonts w:ascii="Times New Roman;serif" w:hAnsi="Times New Roman;serif"/>
          <w:b w:val="false"/>
          <w:color w:val="000000"/>
          <w:sz w:val="20"/>
        </w:rPr>
        <w:t xml:space="preserve">: Our equity securities consist principally of company-sponsored mutual funds with NAVs and various separately-managed portfolios consisting primarily of equity and fixed income mutual funds with quoted prices in active markets, which are included in Level 1 of the valuation hierarchy. In addition, some securities are valued based on observable inputs from recognized pricing vendors, which are included in Level 2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Derivatives</w:t>
      </w:r>
      <w:r>
        <w:rPr>
          <w:rFonts w:ascii="Times New Roman;serif" w:hAnsi="Times New Roman;serif"/>
          <w:b w:val="false"/>
          <w:color w:val="000000"/>
          <w:sz w:val="20"/>
        </w:rPr>
        <w:t xml:space="preserve">: We hold exchange-traded futures with counterparties that are included in Level 1 of the valuation hierarchy. In addition, we also hold currency forward contracts, interest rate swaps, credit default swaps, option swaps and total return swaps with counterparties that are valued based on observable inputs from recognized pricing vendors, which are included in Level 2 of the valuation hierarchy.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    </w:t>
      </w:r>
      <w:r>
        <w:rPr>
          <w:rFonts w:ascii="Times New Roman;serif" w:hAnsi="Times New Roman;serif"/>
          <w:b w:val="false"/>
          <w:color w:val="000000"/>
          <w:sz w:val="20"/>
          <w:u w:val="single"/>
        </w:rPr>
        <w:t>Contingent payment arrangements</w:t>
      </w:r>
      <w:r>
        <w:rPr>
          <w:rFonts w:ascii="Times New Roman;serif" w:hAnsi="Times New Roman;serif"/>
          <w:b w:val="false"/>
          <w:color w:val="000000"/>
          <w:sz w:val="20"/>
        </w:rPr>
        <w:t xml:space="preserve">: Contingent payment arrangements relate to contingent payment liabilities associated with various acquisitions. At each reporting date, we estimate the fair values of the contingent consideration expected to be paid based upon probability-weighted AUM and revenue projections, using unobservable market data inputs, which are included in Level 3 of the valuation hierarchy.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there were no transfers between Level 2 and Level 3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carrying value associated with Level 3 financial instruments carried at fair value, classified as equity securities, is as follows: </w:t>
      </w:r>
    </w:p>
    <w:tbl>
      <w:tblPr>
        <w:tblW w:w="8567"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287"/>
        <w:gridCol w:w="654"/>
        <w:gridCol w:w="148"/>
        <w:gridCol w:w="148"/>
        <w:gridCol w:w="148"/>
        <w:gridCol w:w="148"/>
        <w:gridCol w:w="287"/>
        <w:gridCol w:w="654"/>
        <w:gridCol w:w="148"/>
        <w:gridCol w:w="109"/>
        <w:gridCol w:w="109"/>
        <w:gridCol w:w="109"/>
        <w:gridCol w:w="259"/>
        <w:gridCol w:w="592"/>
        <w:gridCol w:w="134"/>
        <w:gridCol w:w="134"/>
        <w:gridCol w:w="134"/>
        <w:gridCol w:w="134"/>
        <w:gridCol w:w="259"/>
        <w:gridCol w:w="592"/>
        <w:gridCol w:w="189"/>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gains and losses on Level 3 financial instruments are recorded in investment gains and losses in the condensed consolidated statements of income.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acquisitions may include contingent consideration arrangements as part of the purchase price. The change in carrying value associated with Level 3 financial instruments carried at fair value, classified as contingent payment arrangements, is as follows: </w:t>
      </w:r>
    </w:p>
    <w:tbl>
      <w:tblPr>
        <w:tblW w:w="8566"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8,689</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8,520</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expected revenue growth rates ranged from 2.0% to 8.0%, with a weighted average of 4.9%, calculated using cumulative revenues and range of revenue growth rates and a discount rate of 1.9%. As of June 30,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revenue growth rates ranged from 2.0% to 13.3%, with a weighted average of 6.8%, calculated using cumulative revenues and a range of revenue growth rates and a discount rate of 1.9%.</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Assets and Liabilities Measured at Fair Value on a Nonrecurring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have any material assets or liabilities that were measured at fair value for impairment on a nonrecurring basis during the six months ended June 30, 2026 or during the year ended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significant litigation matters, we assess the likelihood of a negative outcome. If a negative outcome is probable and the loss can be reasonably estimated, we record an estimated loss. If a negative outcome is reasonably possible and we can estimate the potential loss or range of loss, or if a negative outcome is probable and we can estimate the potential loss or range of loss beyond any amounts already accrued, we disclose this information. However, predicting outcomes or estimating losses is often challenging due to litigation uncertainties, especially in early stages or complex cases. In such instances, we disclose our inability to predict the outcome or estimate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may face regulatory inquiries, administrative proceedings, and litigation, some alleging significant damages. While it is possible we could incur losses from these matters, we cannot currently estimate such losses or their range. Management, after consulting with legal counsel, believes that the outcome of any individual or combined matters will not materially affect our operations, financial condition, or liquidity. However, due to inherent uncertainties, future developments could potentially have a material adverse effect on our results, financial condition, or liquidity in future reporting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 non-exclusive partnership with Reinsurance Group of America, Incorporated (“RGA”) under which we committed to invest $100.0 million in a reinsurance sidecar vehicle sponsored by RGA and focused on the U.S. asset-intensive reinsurance market. AB will manage private alternative assets for RGA’s general account as part of a separate transaction. As of June 30, 2026, we have funded $0.1 million of this commitment.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we entered into a non-exclusive partnership with Carlyle Investment Management L.L.C. (the "Asset Management Sponsor") and Fortitude International Ltd. (the "Insurance Sponsor and/or their respective affiliates"), and together (the "Sponsors") under which we committed to invest $100.0 million in a reinsurance sidecar vehicle Carlyle FCA Re, L.P. (the "FCA Re Sidecar"). The FCA Re Sidecar is focused on reinsuring life and annuity liabilities in Asia. AB will manage private alternative assets for the Insurance Sponsor as part of a separate transaction. As of June 30, 2026, we have not funded any of this commitment.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Leases </w:t>
      </w:r>
    </w:p>
    <w:p>
      <w:pPr>
        <w:pStyle w:val="TextBody"/>
        <w:bidi w:val="0"/>
        <w:spacing w:before="0" w:after="0"/>
        <w:ind w:left="0" w:right="0" w:hanging="36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space, furniture and office equipment under various operating and financing leases. Our current leases have remaining lease terms of one year to 20 years, some of which include options to extend the leases for up to five years, and some of which include options to terminate the leases within one year.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Leases included in the condensed consolidated statement of financial condition as of June 30, 2026 and December 31, 2025 were as follows:</w:t>
      </w:r>
    </w:p>
    <w:tbl>
      <w:tblPr>
        <w:tblW w:w="8240" w:type="dxa"/>
        <w:jc w:val="center"/>
        <w:tblInd w:w="0" w:type="dxa"/>
        <w:tblLayout w:type="fixed"/>
        <w:tblCellMar>
          <w:top w:w="28" w:type="dxa"/>
          <w:left w:w="28" w:type="dxa"/>
          <w:bottom w:w="28" w:type="dxa"/>
          <w:right w:w="28" w:type="dxa"/>
        </w:tblCellMar>
      </w:tblPr>
      <w:tblGrid>
        <w:gridCol w:w="1054"/>
        <w:gridCol w:w="925"/>
        <w:gridCol w:w="930"/>
        <w:gridCol w:w="544"/>
        <w:gridCol w:w="544"/>
        <w:gridCol w:w="546"/>
        <w:gridCol w:w="109"/>
        <w:gridCol w:w="109"/>
        <w:gridCol w:w="109"/>
        <w:gridCol w:w="234"/>
        <w:gridCol w:w="919"/>
        <w:gridCol w:w="121"/>
        <w:gridCol w:w="109"/>
        <w:gridCol w:w="109"/>
        <w:gridCol w:w="109"/>
        <w:gridCol w:w="313"/>
        <w:gridCol w:w="1228"/>
        <w:gridCol w:w="22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liabilities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the condensed consolidated statement of income as of June 30, 2026 and June 30, 2025 were as follows:</w:t>
      </w:r>
    </w:p>
    <w:tbl>
      <w:tblPr>
        <w:tblW w:w="10205" w:type="dxa"/>
        <w:jc w:val="center"/>
        <w:tblInd w:w="0" w:type="dxa"/>
        <w:tblLayout w:type="fixed"/>
        <w:tblCellMar>
          <w:top w:w="28" w:type="dxa"/>
          <w:left w:w="28" w:type="dxa"/>
          <w:bottom w:w="28" w:type="dxa"/>
          <w:right w:w="28" w:type="dxa"/>
        </w:tblCellMar>
      </w:tblPr>
      <w:tblGrid>
        <w:gridCol w:w="942"/>
        <w:gridCol w:w="769"/>
        <w:gridCol w:w="775"/>
        <w:gridCol w:w="678"/>
        <w:gridCol w:w="678"/>
        <w:gridCol w:w="685"/>
        <w:gridCol w:w="109"/>
        <w:gridCol w:w="109"/>
        <w:gridCol w:w="109"/>
        <w:gridCol w:w="225"/>
        <w:gridCol w:w="769"/>
        <w:gridCol w:w="115"/>
        <w:gridCol w:w="115"/>
        <w:gridCol w:w="115"/>
        <w:gridCol w:w="115"/>
        <w:gridCol w:w="225"/>
        <w:gridCol w:w="769"/>
        <w:gridCol w:w="115"/>
        <w:gridCol w:w="109"/>
        <w:gridCol w:w="109"/>
        <w:gridCol w:w="109"/>
        <w:gridCol w:w="211"/>
        <w:gridCol w:w="721"/>
        <w:gridCol w:w="109"/>
        <w:gridCol w:w="109"/>
        <w:gridCol w:w="109"/>
        <w:gridCol w:w="109"/>
        <w:gridCol w:w="211"/>
        <w:gridCol w:w="721"/>
        <w:gridCol w:w="161"/>
      </w:tblGrid>
      <w:tr>
        <w:trPr/>
        <w:tc>
          <w:tcPr>
            <w:tcW w:w="94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cost:</w:t>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(1)</w:t>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w:t>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Variable lease expense includes operating expenses, real estate taxes and employee parking.</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sub-lease income represents all revenues received from sub-tenants. It is primarily fixed base rental payments combined with variable reimbursements such as operating expenses, real estate taxes and employee parking. The vast majority of sub-tenant income is derived from our New York metro sub-tenant agreements. Sub-tenant income related to base rent is recorded on a straight-line basis.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w:t>
      </w:r>
    </w:p>
    <w:tbl>
      <w:tblPr>
        <w:tblW w:w="9389" w:type="dxa"/>
        <w:jc w:val="center"/>
        <w:tblInd w:w="0" w:type="dxa"/>
        <w:tblLayout w:type="fixed"/>
        <w:tblCellMar>
          <w:top w:w="28" w:type="dxa"/>
          <w:left w:w="28" w:type="dxa"/>
          <w:bottom w:w="28" w:type="dxa"/>
          <w:right w:w="28" w:type="dxa"/>
        </w:tblCellMar>
      </w:tblPr>
      <w:tblGrid>
        <w:gridCol w:w="1624"/>
        <w:gridCol w:w="1426"/>
        <w:gridCol w:w="1435"/>
        <w:gridCol w:w="292"/>
        <w:gridCol w:w="1146"/>
        <w:gridCol w:w="151"/>
        <w:gridCol w:w="109"/>
        <w:gridCol w:w="109"/>
        <w:gridCol w:w="109"/>
        <w:gridCol w:w="319"/>
        <w:gridCol w:w="1091"/>
        <w:gridCol w:w="165"/>
        <w:gridCol w:w="109"/>
        <w:gridCol w:w="109"/>
        <w:gridCol w:w="109"/>
        <w:gridCol w:w="211"/>
        <w:gridCol w:w="721"/>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4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710,941 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512,711 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37" w:type="dxa"/>
        <w:jc w:val="left"/>
        <w:tblInd w:w="0" w:type="dxa"/>
        <w:tblLayout w:type="fixed"/>
        <w:tblCellMar>
          <w:top w:w="28" w:type="dxa"/>
          <w:left w:w="28" w:type="dxa"/>
          <w:bottom w:w="28" w:type="dxa"/>
          <w:right w:w="28" w:type="dxa"/>
        </w:tblCellMar>
      </w:tblPr>
      <w:tblGrid>
        <w:gridCol w:w="1433"/>
        <w:gridCol w:w="1261"/>
        <w:gridCol w:w="1266"/>
        <w:gridCol w:w="255"/>
        <w:gridCol w:w="256"/>
        <w:gridCol w:w="366"/>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term and discount rate:</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non-cash activity related to leases was as follows:</w:t>
      </w:r>
    </w:p>
    <w:tbl>
      <w:tblPr>
        <w:tblW w:w="8044" w:type="dxa"/>
        <w:jc w:val="center"/>
        <w:tblInd w:w="0" w:type="dxa"/>
        <w:tblLayout w:type="fixed"/>
        <w:tblCellMar>
          <w:top w:w="28" w:type="dxa"/>
          <w:left w:w="28" w:type="dxa"/>
          <w:bottom w:w="28" w:type="dxa"/>
          <w:right w:w="28" w:type="dxa"/>
        </w:tblCellMar>
      </w:tblPr>
      <w:tblGrid>
        <w:gridCol w:w="1944"/>
        <w:gridCol w:w="1708"/>
        <w:gridCol w:w="1718"/>
        <w:gridCol w:w="381"/>
        <w:gridCol w:w="258"/>
        <w:gridCol w:w="258"/>
        <w:gridCol w:w="258"/>
        <w:gridCol w:w="258"/>
        <w:gridCol w:w="258"/>
        <w:gridCol w:w="381"/>
        <w:gridCol w:w="258"/>
        <w:gridCol w:w="364"/>
      </w:tblGrid>
      <w:tr>
        <w:trPr/>
        <w:tc>
          <w:tcPr>
            <w:tcW w:w="194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Right-of-use assets obtained in exchange for lease obligations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non-cash activity and, accordingly, is not reflected in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Consolidated Company-Sponsored Investment Funds </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provide seed capital to new company-sponsored investment funds. As such, we may consolidate or de-consolidate a variety of company-sponsored investment funds each quarter. Due to the similarity of risks related to our involvement with each company-sponsored investment fund, disclosures required under the VIE model are aggregated, such as disclosures regarding the carrying amount and classification of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not required to provide financial support to company-sponsored investment funds, and only the assets of such funds are available to settle each fund's own liabilities. Our exposure to loss regarding consolidated company-sponsored investment funds is limited to our investment in, and our management fee earned from, such funds. Equity and debt holders of such funds have no recourse to AB’s assets or to the general credit of AB.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balances of consolidated VIEs and VOEs included in our condensed consolidated statements of financial condition were as follows:</w:t>
      </w:r>
    </w:p>
    <w:tbl>
      <w:tblPr>
        <w:tblW w:w="10205" w:type="dxa"/>
        <w:jc w:val="center"/>
        <w:tblInd w:w="0" w:type="dxa"/>
        <w:tblLayout w:type="fixed"/>
        <w:tblCellMar>
          <w:top w:w="28" w:type="dxa"/>
          <w:left w:w="28" w:type="dxa"/>
          <w:bottom w:w="28" w:type="dxa"/>
          <w:right w:w="28" w:type="dxa"/>
        </w:tblCellMar>
      </w:tblPr>
      <w:tblGrid>
        <w:gridCol w:w="761"/>
        <w:gridCol w:w="339"/>
        <w:gridCol w:w="341"/>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841"/>
        <w:gridCol w:w="155"/>
      </w:tblGrid>
      <w:tr>
        <w:trPr/>
        <w:tc>
          <w:tcPr>
            <w:tcW w:w="7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373,380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partners'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440,038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466,556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373,380</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six-month period ended June 30, 2026, we deconsolidated two funds in which we had a seed investment of approximately $29.6 million as of December 31, 2025, due to no longer having a controlling financial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redeemable non-controlling interest balance during the six-month period ended June 30, 2026 are as follows (in thousands): </w:t>
      </w:r>
    </w:p>
    <w:tbl>
      <w:tblPr>
        <w:tblW w:w="6381" w:type="dxa"/>
        <w:jc w:val="left"/>
        <w:tblInd w:w="0" w:type="dxa"/>
        <w:tblLayout w:type="fixed"/>
        <w:tblCellMar>
          <w:top w:w="28" w:type="dxa"/>
          <w:left w:w="28" w:type="dxa"/>
          <w:bottom w:w="28" w:type="dxa"/>
          <w:right w:w="28" w:type="dxa"/>
        </w:tblCellMar>
      </w:tblPr>
      <w:tblGrid>
        <w:gridCol w:w="1874"/>
        <w:gridCol w:w="1647"/>
        <w:gridCol w:w="1654"/>
        <w:gridCol w:w="211"/>
        <w:gridCol w:w="841"/>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Deconsolidated funds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third-party seed investments in consolidated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Redeemable non-controlling interest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230,809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demand deposits, overnight commercial paper and highly liquid investments with original maturities of three months or less. Due to the short-term nature of these instruments, the recorded value has been determined to approximate fair value.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of consolidated company-sponsored investment funds' financial instruments by pricing observability levels as of June 30, 2026 and December 31, 2025 was as follows (in thousands): </w:t>
      </w:r>
    </w:p>
    <w:tbl>
      <w:tblPr>
        <w:tblW w:w="7888" w:type="dxa"/>
        <w:jc w:val="left"/>
        <w:tblInd w:w="0" w:type="dxa"/>
        <w:tblLayout w:type="fixed"/>
        <w:tblCellMar>
          <w:top w:w="28" w:type="dxa"/>
          <w:left w:w="28" w:type="dxa"/>
          <w:bottom w:w="28" w:type="dxa"/>
          <w:right w:w="28" w:type="dxa"/>
        </w:tblCellMar>
      </w:tblPr>
      <w:tblGrid>
        <w:gridCol w:w="1220"/>
        <w:gridCol w:w="1070"/>
        <w:gridCol w:w="1085"/>
        <w:gridCol w:w="211"/>
        <w:gridCol w:w="736"/>
        <w:gridCol w:w="109"/>
        <w:gridCol w:w="109"/>
        <w:gridCol w:w="109"/>
        <w:gridCol w:w="109"/>
        <w:gridCol w:w="211"/>
        <w:gridCol w:w="841"/>
        <w:gridCol w:w="109"/>
        <w:gridCol w:w="109"/>
        <w:gridCol w:w="109"/>
        <w:gridCol w:w="109"/>
        <w:gridCol w:w="109"/>
        <w:gridCol w:w="109"/>
        <w:gridCol w:w="109"/>
        <w:gridCol w:w="109"/>
        <w:gridCol w:w="211"/>
        <w:gridCol w:w="84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VOEs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Derivatives - VIEs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453,471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VOEs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Derivatives - VIEs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340,611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See Note 11</w:t>
      </w:r>
      <w:r>
        <w:rPr>
          <w:color w:val="000000"/>
        </w:rPr>
        <w:t xml:space="preserve"> </w:t>
      </w:r>
      <w:r>
        <w:rPr>
          <w:rFonts w:ascii="Times New Roman;serif" w:hAnsi="Times New Roman;serif"/>
          <w:b w:val="false"/>
          <w:color w:val="000000"/>
          <w:sz w:val="20"/>
        </w:rPr>
        <w:t>for a description of the fair value methodologies used for instruments measured at fair value, as well as the general classification of such instruments pursuant to the valuation hierarchy.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Level 3 financial instruments carried at fair value within the consolidated company-sponsored investment funds during the six months ended June 30, 2026 and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VIEs held $0.6 million and zero, respectively, of futures, forwards and swaps within their portfolios. For the three and six months ended June 30, 2026, we recognized $5.2 million and $0.6 million of gains, respectively, on these derivatives. For the three and six months ended June 30, 2025, we recognized $0.2 million and $0.3 million of losses, respectively, on these derivatives. These gains and losses are recognized in investment gains (losses) in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VIEs held $0.3 million and zero, respectively, of cash collateral payable to trade counterparties. This obligation to return cash is reported in the liabilities of consolidated company-sponsored investment funds in our condensed consolidated statements of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VIEs delivered $0.7 million and $0.5 million, respectively, of cash collateral into brokerage accounts. The VIEs report this cash collateral in the consolidated company-sponsored investment funds cash and cash equivalents in our condensed consolidated statements of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VOEs held zero futures, forwards, options or swaps within their portfolios. For the three and six months ended June 30, 2026 and June 30, 2025, we recognized no gains or losses on these derivatives. These gains and losses are recognized in investment gains (losses) in the condensed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VOEs held no cash collateral payable to trade counterparties.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VOEs delivered no cash collateral in brokerage accounts.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Offsetting Assets and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derivative assets of consolidated company-sponsored investment funds as of June 30, 2026 and December 31, 2025 was as follows: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03"/>
        <w:gridCol w:w="410"/>
        <w:gridCol w:w="207"/>
        <w:gridCol w:w="258"/>
        <w:gridCol w:w="883"/>
        <w:gridCol w:w="134"/>
        <w:gridCol w:w="109"/>
        <w:gridCol w:w="109"/>
        <w:gridCol w:w="109"/>
        <w:gridCol w:w="391"/>
        <w:gridCol w:w="755"/>
        <w:gridCol w:w="204"/>
        <w:gridCol w:w="109"/>
        <w:gridCol w:w="109"/>
        <w:gridCol w:w="109"/>
        <w:gridCol w:w="307"/>
        <w:gridCol w:w="1052"/>
        <w:gridCol w:w="159"/>
        <w:gridCol w:w="109"/>
        <w:gridCol w:w="109"/>
        <w:gridCol w:w="109"/>
        <w:gridCol w:w="346"/>
        <w:gridCol w:w="668"/>
        <w:gridCol w:w="180"/>
        <w:gridCol w:w="109"/>
        <w:gridCol w:w="109"/>
        <w:gridCol w:w="109"/>
        <w:gridCol w:w="268"/>
        <w:gridCol w:w="612"/>
        <w:gridCol w:w="138"/>
        <w:gridCol w:w="109"/>
        <w:gridCol w:w="109"/>
        <w:gridCol w:w="109"/>
        <w:gridCol w:w="211"/>
        <w:gridCol w:w="721"/>
        <w:gridCol w:w="163"/>
      </w:tblGrid>
      <w:tr>
        <w:trPr/>
        <w:tc>
          <w:tcPr>
            <w:tcW w:w="5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Assets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Amount</w:t>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derivative liabilities of consolidated company-sponsored investment funds as of June 30, 2026 and December 31, 2025 was as follows: </w:t>
      </w:r>
    </w:p>
    <w:tbl>
      <w:tblPr>
        <w:tblW w:w="10205" w:type="dxa"/>
        <w:jc w:val="left"/>
        <w:tblInd w:w="0" w:type="dxa"/>
        <w:tblLayout w:type="fixed"/>
        <w:tblCellMar>
          <w:top w:w="28" w:type="dxa"/>
          <w:left w:w="28" w:type="dxa"/>
          <w:bottom w:w="28" w:type="dxa"/>
          <w:right w:w="28" w:type="dxa"/>
        </w:tblCellMar>
      </w:tblPr>
      <w:tblGrid>
        <w:gridCol w:w="502"/>
        <w:gridCol w:w="409"/>
        <w:gridCol w:w="205"/>
        <w:gridCol w:w="262"/>
        <w:gridCol w:w="898"/>
        <w:gridCol w:w="136"/>
        <w:gridCol w:w="109"/>
        <w:gridCol w:w="109"/>
        <w:gridCol w:w="109"/>
        <w:gridCol w:w="384"/>
        <w:gridCol w:w="743"/>
        <w:gridCol w:w="200"/>
        <w:gridCol w:w="109"/>
        <w:gridCol w:w="109"/>
        <w:gridCol w:w="109"/>
        <w:gridCol w:w="309"/>
        <w:gridCol w:w="1056"/>
        <w:gridCol w:w="159"/>
        <w:gridCol w:w="109"/>
        <w:gridCol w:w="109"/>
        <w:gridCol w:w="109"/>
        <w:gridCol w:w="345"/>
        <w:gridCol w:w="666"/>
        <w:gridCol w:w="180"/>
        <w:gridCol w:w="109"/>
        <w:gridCol w:w="109"/>
        <w:gridCol w:w="109"/>
        <w:gridCol w:w="267"/>
        <w:gridCol w:w="610"/>
        <w:gridCol w:w="138"/>
        <w:gridCol w:w="109"/>
        <w:gridCol w:w="109"/>
        <w:gridCol w:w="109"/>
        <w:gridCol w:w="212"/>
        <w:gridCol w:w="725"/>
        <w:gridCol w:w="164"/>
      </w:tblGrid>
      <w:tr>
        <w:trPr/>
        <w:tc>
          <w:tcPr>
            <w:tcW w:w="5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Liabilities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collateral, whether pledged or received on derivative instruments, is not considered material and, accordingly, is not disclosed by counterparty.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net assets of company-sponsored investment products that are non-consolidated VIEs are approximately $79.0 billion; our maximum risk of loss is our investment of $51.2 million and our advisory fee receivables from these VIEs is $117.7 million. As of December 31, 2025, the net assets of company-sponsored investment products that were non-consolidated VIEs were approximately $51.3 billion; our maximum risk of loss was our investment of $40.4 million and our advisory fees receivable from these VIEs were $105.1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Units Outstanding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AB Units outstanding during the six-month period ended June 30, 2026 were as follows: </w:t>
      </w:r>
    </w:p>
    <w:p>
      <w:pPr>
        <w:pStyle w:val="TextBody"/>
        <w:bidi w:val="0"/>
        <w:spacing w:lineRule="auto" w:line="288" w:before="0" w:after="0"/>
        <w:jc w:val="both"/>
        <w:rPr>
          <w:color w:val="000000"/>
        </w:rPr>
      </w:pPr>
      <w:r>
        <w:rPr>
          <w:color w:val="000000"/>
        </w:rPr>
        <w:t> </w:t>
      </w:r>
    </w:p>
    <w:tbl>
      <w:tblPr>
        <w:tblW w:w="4520" w:type="dxa"/>
        <w:jc w:val="left"/>
        <w:tblInd w:w="0" w:type="dxa"/>
        <w:tblLayout w:type="fixed"/>
        <w:tblCellMar>
          <w:top w:w="28" w:type="dxa"/>
          <w:left w:w="28" w:type="dxa"/>
          <w:bottom w:w="28" w:type="dxa"/>
          <w:right w:w="28" w:type="dxa"/>
        </w:tblCellMar>
      </w:tblPr>
      <w:tblGrid>
        <w:gridCol w:w="1147"/>
        <w:gridCol w:w="1006"/>
        <w:gridCol w:w="1012"/>
        <w:gridCol w:w="600"/>
        <w:gridCol w:w="60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293,508,421 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Units retired </w:t>
            </w:r>
            <w:r>
              <w:rPr>
                <w:rFonts w:ascii="Times New Roman;serif" w:hAnsi="Times New Roman;serif"/>
                <w:b w:val="false"/>
                <w:color w:val="000000"/>
                <w:sz w:val="13"/>
              </w:rPr>
              <w:t>(1)</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294,295,573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During the six months ended June 30, 2026, we purchased 3,700 AB Units in private transactions and retired them.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16.     Debt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AB has an $800.0 million committed, unsecured senior revolving credit facility (the "Credit Facility") with a group of commercial banks and other lenders. The Credit Facility has a maturity date of August 5, 2030. The Credit Facility provides for possible increases in the principal amount by up to an aggregate incremental amount of $200.0 million; any such increase is subject to the consent of the affected lenders. The Credit Facility is available for AB business purposes, including the support of AB’s commercial paper program. Management may draw on the Credit Facility from time to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affirmative, negative and financial covenants, which are customary for facilities of this type, including restrictions on dispositions of assets, restrictions on liens, a minimum interest coverage ratio and a maximum leverage ratio. As of June 30, 2026, we were in compliance with these covenants. The Credit Facility also includes customary events of default (with customary grace periods, as applicable), including provisions under which, upon the occurrence of an event of default, all outstanding loans may be accelerated and/or lender’s commitments may be terminated. Also, under such provisions, upon the occurrence of certain insolvency-related or bankruptcy-related events of default, all amounts payable under the Credit Facility would automatically become immediately due and payable, and the lender’s commitments automatically would terminate.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under the Credit Facility may be borrowed, repaid and re-borrowed by us from time to time until the maturity of the facility. Voluntary prepayments and commitment reductions requested by us are permitted at any time without a fee (other than customary breakage costs relating to the prepayment of any drawn loans) upon proper notice and subject to a minimum dollar requirement. Borrowings under the Credit Facility bear interest at a rate per annum, which will be, at our option, a rate equal to an applicable margin, which is subject to adjustment based on the credit ratings of AB, plus one of the following indices: a term Secured Overnight Financial Rate; a Prime rate; or the Federal Funds 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no amounts outstanding under the Credit Facility. Furthermore, during the first six months of 2026 and the full year 2025, we did not draw upon the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EQH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also has a $900.0 million committed, unsecured senior credit facility (“EQH Facility”) with EQH. The EQH Facility matures on August 31, 2029 and is available for AB's general business purposes. Borrowings under the EQH Facility generally bear interest at a rate per annum based on prevailing overnight commercial paper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EQH Facility contains affirmative, negative and financial covenants which are substantially similar to those in AB’s committed bank facilities. As of June 30, 2026, we were in compliance with these covenants. The EQH Facility also includes customary events of default substantially similar to those in AB’s committed bank facilities, including provisions under which, upon the occurrence of an event of default, all outstanding loans may be accelerated and/or the lender’s commitment may be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under the EQH Facility may be borrowed, repaid and re-borrowed by us from time to time until the maturity of the facility. AB or EQH may reduce or terminate the commitment at any time without penalty upon proper notice. EQH also may terminate the facility immediately upon a change of control of our general partner.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AB had $580.0 million and $810.0 million outstanding under the EQH Facility, with an interest rate of approximately 3.7% for both periods. Average daily borrowings on the EQH Facility for the first six months of 2026 and the full year 2025 were $509.2 million and $392.2 million, respectively, with weighted average interest rates of approximately 3.6% and 4.2%,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EQH Uncommitted Facility</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 addition to the EQH Facility, AB has a $300.0 million uncommitted, unsecured senior credit facility (“EQH Uncommitted Facility”) with EQH. The EQH Uncommitted Facility matures on August 31, 2029 and is available for AB's general business purposes. Borrowings under the EQH Uncommitted Facility generally bear interest at a rate per annum based on prevailing overnight commercial paper rates. The EQH Uncommitted Facility contains affirmative, negative and financial covenants which are substantially similar to those in the EQH Facility. As of June 30, 2026, we were in compliance with these covenants. As of June 30, 2026 and December 31, 2025 we had no amounts outstanding on the EQH Uncommitted Facility. During the first six months of 2026 and full year 2025, we did not draw upon the EQH Uncommitted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Commercial Paper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we had no commercial paper outstanding. The commercial paper is short term in nature, and as such, recorded value is estimated to approximate fair value (and considered a Level 2 security in the fair value hierarchy). Average daily borrowings of commercial paper during the first six months of 2026 and full year 2025 were $187.5 million and $199.5 million, respectively, with weighted average interest rates of approximately 3.8% and 4.4%,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SCB Lines of Credit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SCB LLC had three uncommitted lines of credit with three financial institutions, two of these lines of credit allowed SCB LLC to borrow up to an aggregate of $150.0 million. One of these lines of credit was terminated March 20,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SCB LLC has two uncommitted lines of credit with two financial institutions. One of these lines of credit permits SCB LLC to borrow up to an aggregate of approximately $100.0 million, with AB named as an additional borrower, while the other line has no stated limit. AB has agreed to guarantee the obligations of SCB LLC under these lines of credit. As of June 30, 2026 and December 31, 2025, SCB LLC had no outstanding balance on these lines of credit. Average daily borrowings on these lines of credit during the first six months of 2026 and full year 2025 were $0.8 million and $0.5 million, respectively, with weighted average interest rates of approximately 6.8% and 7.3%,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17. Business Segment Information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assessed the requirements of ASC 280, Segment Reporting, and determined that, because we utilize a consolidated approach to assess performance and allocate resources, we have only one operating segment. We provide diversified investment management, research and related services globally to a broad range of clients through our three distribution channels: Institutions, Retail and Private Wealth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Chief Operating Decision Maker (</w:t>
      </w:r>
      <w:r>
        <w:rPr>
          <w:rFonts w:ascii="Times New Roman;serif" w:hAnsi="Times New Roman;serif"/>
          <w:b/>
          <w:color w:val="000000"/>
          <w:sz w:val="20"/>
        </w:rPr>
        <w:t>"</w:t>
      </w:r>
      <w:r>
        <w:rPr>
          <w:rFonts w:ascii="Times New Roman;serif" w:hAnsi="Times New Roman;serif"/>
          <w:b w:val="false"/>
          <w:color w:val="000000"/>
          <w:sz w:val="20"/>
        </w:rPr>
        <w:t>CODM</w:t>
      </w:r>
      <w:r>
        <w:rPr>
          <w:rFonts w:ascii="Times New Roman;serif" w:hAnsi="Times New Roman;serif"/>
          <w:b/>
          <w:color w:val="000000"/>
          <w:sz w:val="20"/>
        </w:rPr>
        <w:t>"</w:t>
      </w:r>
      <w:r>
        <w:rPr>
          <w:rFonts w:ascii="Times New Roman;serif" w:hAnsi="Times New Roman;serif"/>
          <w:b w:val="false"/>
          <w:color w:val="000000"/>
          <w:sz w:val="20"/>
        </w:rPr>
        <w:t>) is the Chief Executive Officer of AB. The CODM evaluates the reported measure of segment profit or loss in assessing segment performance and deciding how to allocate resources. Significant segment expenses are part of the CODM review and are critically important to understand the level of profitability and overall performance of the company. This assessment will determine the way in which the CODM allocates resources to our respective business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Measurement of Segment Profit or Loss and How the CODM Uses the Reported Measure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CODM regularly receives financial information and management reports that are prepared on a consolidated basis. When assessing profitability, allocating resources and evaluating the underlying performance of our business, the CODM uses condensed consolidated net income as reported on the condensed consolidated statements of income. In applying the requirements under ASC 280, the company has identified significant segment expenses and other segment items related to our one operating segment. The significant expenses considered by the CODM in evaluating the performance of our business are consistent with the financial information included on the company's condensed consolidated statements of income. The measurement of assets as evaluated by the CODM is reported as </w:t>
      </w:r>
      <w:r>
        <w:rPr>
          <w:rFonts w:ascii="Times New Roman;serif" w:hAnsi="Times New Roman;serif"/>
          <w:b w:val="false"/>
          <w:i/>
          <w:color w:val="000000"/>
          <w:sz w:val="20"/>
        </w:rPr>
        <w:t>"Total assets"</w:t>
      </w:r>
      <w:r>
        <w:rPr>
          <w:color w:val="000000"/>
        </w:rPr>
        <w:t xml:space="preserve"> </w:t>
      </w:r>
      <w:r>
        <w:rPr>
          <w:rFonts w:ascii="Times New Roman;serif" w:hAnsi="Times New Roman;serif"/>
          <w:b w:val="false"/>
          <w:color w:val="000000"/>
          <w:sz w:val="20"/>
        </w:rPr>
        <w:t xml:space="preserve">on the condensed consolidated statements of financial condition. As an additional measure of segment profit or loss, the CODM considers certain adjustments to condensed consolidated net income. While management uses these additional adjusted metrics in assessing and allocating resources to the business, management recognizes that US GAAP principles are the basis of our performance.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Enterprise-wide disclosures as of and for the three months ended June 30, 2026 and 2025 were as follows: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revenues derived from our investment management, research and related services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225"/>
        <w:gridCol w:w="1076"/>
        <w:gridCol w:w="1087"/>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56"/>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Institutions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Wealth Management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Institutions, Retail and Private Wealth management revenues by channel include investment advisory base fees, performance-based fees, distribution revenues and shareholder servicing fees by channel.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AllianceBernstein U.S. Growth Stock, an open-end fund incorporated in Japan, generated approximately 11% of our net revenues for the three and six months ended June 30, 2026, respectively. U.S. Growth Stock generated approximately 12% of our net revenues for the three and six months ended June 30,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Geographic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revenues related to our U.S. and international operations, for the three and six months ended June 30, 2026 and 2025, were as follows:</w:t>
      </w:r>
    </w:p>
    <w:tbl>
      <w:tblPr>
        <w:tblW w:w="8873" w:type="dxa"/>
        <w:jc w:val="left"/>
        <w:tblInd w:w="0" w:type="dxa"/>
        <w:tblLayout w:type="fixed"/>
        <w:tblCellMar>
          <w:top w:w="28" w:type="dxa"/>
          <w:left w:w="28" w:type="dxa"/>
          <w:bottom w:w="28" w:type="dxa"/>
          <w:right w:w="28" w:type="dxa"/>
        </w:tblCellMar>
      </w:tblPr>
      <w:tblGrid>
        <w:gridCol w:w="738"/>
        <w:gridCol w:w="652"/>
        <w:gridCol w:w="55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Luxembourg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related to our U.S. and international operations, as of June 30, 2026 and December 31, 2025, were as follows:</w:t>
      </w:r>
    </w:p>
    <w:tbl>
      <w:tblPr>
        <w:tblW w:w="5557"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211"/>
        <w:gridCol w:w="991"/>
        <w:gridCol w:w="109"/>
        <w:gridCol w:w="109"/>
        <w:gridCol w:w="109"/>
        <w:gridCol w:w="109"/>
        <w:gridCol w:w="277"/>
        <w:gridCol w:w="1304"/>
        <w:gridCol w:w="143"/>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4,126,410 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4,131,476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4,178,336</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single customer or individual client accounted for more than 10% of our total revenues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color w:val="000000"/>
          <w:sz w:val="20"/>
        </w:rPr>
        <w:t>18</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Divestitures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"Initial Close") AB and Societe Generale ("SocGen") formed a global joint venture with two joint venture holding companies, one outside of North America ( the "ROW JV") and one within North America ("NA JV", and together the "JVs"). As of December 31, 2025, AB owned a 66.7% majority interest in the NA JV while SocGen owned a 51% majority interest in the ROW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greater value of the business AB contributed to the JVs at the Initial Close, SocGen paid AB $304.0 million in cash to equalize the value of the contributions by AB and SocGen to the JVs. The cash payment of $304.0 million included $102.6 million of prepaid consideration for an option, exercisable by AB during the following five years from the Initial Close, that would result in SocGen having a 51% ownership of the NA JV (the "AB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Amendment Agreement, on January 1, 2026, AB entered into a Contribution Agreement (the "Contribution Agreement") with SocGen. Prior to the Contribution Agreement, SocGen and AB had a 51% and 49% interest in both JVs, respectively. Under the Contribution Agreement, AB contributed its 49% interest in NA JV, and SocGen contributed its 51% interest in NA JV, for an equal interest in newly issued shares of ROW JV resulting in a single JV comprised of the operations and interest of both JVs (the "AB/SG JV"). AB maintains its additional option to sell its ownership interests in the AB/SG JV to SocGen after five years from the Initial Close, at the fair market value of AB’s interests in the AB/SG JV, subject to regulatory approval.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2.     </w:t>
      </w:r>
      <w:r>
        <w:rPr>
          <w:rFonts w:ascii="Times New Roman;serif" w:hAnsi="Times New Roman;serif"/>
          <w:b/>
          <w:color w:val="000000"/>
          <w:sz w:val="20"/>
          <w:u w:val="single"/>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u w:val="single"/>
        </w:rPr>
      </w:pPr>
      <w:r>
        <w:rPr>
          <w:rFonts w:ascii="Times New Roman;serif" w:hAnsi="Times New Roman;serif"/>
          <w:b/>
          <w:i/>
          <w:color w:val="000000"/>
          <w:sz w:val="20"/>
          <w:u w:val="single"/>
        </w:rPr>
        <w:t>Executive Overview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total assets under management (“AUM”) as of June 30, 2026 were $905.5 billion, up $66.9 billion, or 8.0%, compared to March 31, 2026, and up $76.4 billion, or 9.2%, compared to June 30, 2025. During the second quarter of 2026 AUM increased due to market appreciation of $66.1 billion and net inflows of $0.8 billion (Retail net inflows of $0.9 billion and Institutional net inflows of $0.6 billion, offset by Private Wealth net outflows of $0.7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Institutional AUM increased $23.4 billion, or 6.7%, to $371.1 billion during the second quarter of 2026, primarily due to market appreciation of $22.1 billion and net inflows of $0.6 billion. Gross sales increased sequentially from $5.6 billion during the first quarter of 2026 to $8.3 billion during the second quarter of 2026. Redemptions and terminations increased sequentially from $3.2 billion to $4.3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AUM increased $31.8 billion, or 9.5%, to $367.3 billion during the second quarter of 2026, primarily due to market appreciation of $31.6 billion and net inflows of $0.9 billion. Gross sales increased sequentially from $23.1 billion during the first quarter of 2026 to $31.0 billion during the second quarter of 2026. Redemptions and terminations increased sequentially from $26.3 billion to $27.0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Private Wealth AUM increased $11.7 billion, or 7.5%, to $167.1 billion during the second quarter of 2026, due to market appreciation of $12.4 billion, offset by net outflows of $0.7 billion. Gross sales decreased sequentially from $6.9 billion during the first quarter of 2026 to $5.5 billion during the second quarter of 2026. Redemptions and terminations decreased sequentially from $6.3 billion to $6.2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revenues for the second quarter of 2026 increased $82.1 million, or 7.5%, to $1.2 billion from $1.1 billion in the second quarter of 2025. The increase was primarily due to higher investment advisory base fees of $55.0 million, higher investment gains compared to losses in the corresponding 2025 period of $21.3 million and higher performance-based fees of $8.0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for the second quarter of 2026 increased $15.0 million, or 1.7%, to $881.9 million from $866.8 million in the second quarter of 2025. The increase is primarily due to higher employee compensation and benefits expense of $31.6 million, partially offset by lower general and administrative expense of $12.9 million and lower promotion and servicing expense of $2.2 million.</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$67.1 million, or 30.2%, to $289.2 million from $222.1 million in the second quarter of 2025 and our operating margin increased to 23.2% in the second quarter of 2026 from 20.7% in the second quarter of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Market Environment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 Equities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U.S. equity markets staged a strong reversal in the second quarter of 2026, with the S&amp;P 500 Index returning approximately 15%, its best quarterly performance since the 2020 post-pandemic rebound, while the Russell 2000 surged more than 21% for its strongest quarter in decades. The rally was fueled by de-escalation in the Middle East, as a U.S.-Iran ceasefire and the reopening of the Strait of Hormuz drove oil prices down sharply from their April peak near $120 per barrel to below $75 by quarter-end, easing the inflation and growth concerns that had weighed on markets in the first quarter. Growth decisively reversed course and outperformed value, with technology and AI-related themes driving the advance; the Philadelphia Semiconductor Index posted its best quarterly gain since its 1994 inception as memory and semiconductor names surged on accelerating AI infrastructure demand. Nine of eleven S&amp;P 500 sectors finished higher, with industrials, financials, and healthcare showing late-quarter leadership even as technology and communication services saw some profit-taking in June. Energy was the notable laggard, giving back much of its first-quarter gains as oil prices retreated. On the policy front, the Federal Reserve held rates steady at 3.50%–3.75% for a fourth consecutive meeting, with new Fed Chair Kevin Warsh presiding over his first policy meeting in June; the Fed's updated projections showed a majority of officials now anticipating a rate hike later in 2026 to combat inflation running near 4.2%, a sharp reversal from the prior rate-cutting expectations earlier in the year. Corporate earnings remained a key support, with second-quarter S&amp;P 500 earnings growth estimates rising over the course of the quarter to more than 23%, well above typical seasonal patterns.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 and Non-U.S. Equities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equities also rallied sharply, with developed markets returning roughly 14% and the MSCI EAFE Index gaining approximately 11% in the second quarter of 2026, as easing geopolitical tensions and falling energy prices lifted sentiment globally. Japanese equities were a standout, with the TOPIX advancing 14% as a weaker yen benefited exporters and financials, even as the Bank of Japan delivered a widely expected rate hike to 1.0% in June amid strong wage growth. Eurozone equities advanced despite a challenging backdrop, as the European Central Bank raised interest rates by 25 basis points to 2.25%, its first hike since 2023, citing inflation pressures from the energy shock, even as first-quarter eurozone GDP contracted. U.K. equities extended their winning streak, with the FTSE 100 rising 3% for a sixth consecutive quarterly gain, while the Bank of England held its policy rate at 3.75%. Emerging market equities were the standout performer globally, with the MSCI Emerging Markets Index surging approximately 24%, its best quarterly gain since 2009. Korea led by a wide margin, posting its best quarterly performance since 1998 as SK Hynix and Samsung Electronics roughly tripled and doubled in value, respectively, both crossing $1 trillion in market capitalization on explosive memory-chip demand tied to the AI build out. Taiwan also benefited from strong semiconductor exports. In contrast, China underperformed, with the MSCI China Index declining amid persistent weakness in retail sales and the auto sector, while broader domestic demand concerns continued to weigh on sentiment.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 Bonds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Global bond markets were mixed but generally positive in the second quarter of 2026, as investors weighed the inflationary impact of the energy shock against signs that the worst of the geopolitical disruption was passing. The Bloomberg Global Aggregate Bond Index returned approximately 0.9% (total return, unhedged), a modest gain that masked notable divergence by region and credit quality. In the U.S., the 10-year Treasury yield rose 15 basis points to 4.5%, after approaching an intra-quarter high of 4.7%, as the Federal Reserve held rates steady but signaled a possible hike later in the year under new Chair Kevin Warsh. European government bonds were pressured by the ECB's rate hike, its first in nearly three years, while Japanese government bond (“JGB”) yields continued to climb, with the 10-year JGB yield reaching 2.7% following the Bank of Japan's rate increase; JGBs underperformed the broader global index, declining roughly 1.3%. Credit markets fared better, supported by resilient corporate earnings and tightening spreads: euro high-yield bonds returned 3.7%, U.S. high yield gained 2.5%, and global investment-grade credit advanced 1.5%. Emerging market debt was a bright spot, returning approximately 4.0% as an improving inflation outlook and expectations for less restrictive developed-market central bank policy supported the asset class. Overall, fixed income investors benefited more from carry and credit selection than from duration, as rate volatility remained elevated throughout the quarter.</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Relationship with EQH and its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Permanent Capital Deployment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EQH (our parent company) and its subsidiaries are our largest client. EQH is collaborating with AB in order to improve the risk-adjusted yield for the General Accounts of EQH's insurance subsidiaries by investing additional assets at AB, including the utilization of AB's higher-fee, longer-duration alternative offerings. In mid-2021, Equitable Financial Life Insurance Company, a subsidiary of EQH ("Equitable Financial"), agreed to provide an initial $10 billion in permanent capital to build out AB's private illiquid offerings, including private alternatives and private placements. Deployment of the initial $10 billion in permanent capital is now complete. During the second quarter of 2023, EQH committed to provide an additional $10 billion in permanent capital, deployment of which is now also complete. We expect this capital from EQH's insurance subsidiaries will continue to accelerate both organic and inorganic growth in our private alternatives business, allowing us to continue to deliver for our clients, employees, unitholders and other stakeholders.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Permanent capital means investment capital of indefinite duration, for which commitments may be withdrawn under certain conditions. Such conditions primarily include potential regulatory restrictions, lacking sufficient liquidity to fund the capital commitments to AB and AB's inability to identify attractive investment opportunities which align with the investment strategy. Although EQH’s insurance subsidiaries have indicated their intention over time to provide this investment capital to AB, they have no binding commitment to do so. While the withdrawal of their commitment could potentially slow down our introduction of certain products, the impact to our overall operations would not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Equitable and Corebridge Merger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2026, Equitable Holdings, Inc. and Corebridge Financial, Inc. entered into a Merger Agreement to combine their businesses. Through a series of transactions, both Equitable and Corebridge will continue to operate as direct, wholly-owned subsidiaries of a newly formed parent holding company ("HoldCo"). Upon closing, HoldCo will become the ultimate parent entity, to be renamed "Equitable Holdings, Inc.," and its common stock will trade on the NYSE. Upon completion of the transaction, Corebridge stockholders are expected to own approximately 51% of HoldCo, with Equitable stockholders owning approximately 49%, and the 14-member board of directors of HoldCo will include seven directors designated by Corebridge and seven directors designated by Equitable Holdings. No changes to AB’s Executive leadership, senior management, operating model, or ownership structure are anticipated as a result of this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completion of the merger remains subject to customary closing conditions, including the receipt of required regulatory approvals and approval of shareholders of both Corebridge and EQH.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part of this strategic merger, AB is expected to benefit from a substantial increase in assets under management over time, with an estimated $100 billion in assets anticipated to be transferred to AB. Notably, AB will have the opportunity to manage a larger pool of general account insurance assets and to collaborate closely on Retirement solutions, particularly leveraging AB’s industry-leading Lifetime Income platform.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Joint Venture with Societe Generale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"Initial Close") AB and Societe Generale ("SocGen") formed a global joint venture with two joint venture holding companies, one outside of North America ( the "ROW JV") and one within North America ("NA JV", and together the "JVs"). As of December 31, 2025, AB owned a 66.7% majority interest in the NA JV while SocGen owned a 51% majority interest in the ROW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greater value of the business AB contributed to the JVs at the Initial Close, SocGen paid AB $304.0 million in cash to equalize the value of the contributions by AB and SocGen to the JVs. The cash payment of $304.0 million included $102.6 million of prepaid consideration for an option, exercisable by AB during the following five years from the Initial Close, that would result in SocGen having a 51% ownership of the NA JV (the "AB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Amendment Agreement, on January 1, 2026, AB entered into a Contribution Agreement (the "Contribution Agreement") with SocGen. Prior to the Contribution Agreement, SocGen and AB had a 51% and 49% interest in both JVs, respectively. Under the Contribution Agreement, AB contributed its 49% interest in NA JV, and SocGen contributed its 51%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 NA JV, for an equal interest in newly issued shares of ROW JV resulting in a single JV comprised of the operations and interest of both JVs (the "AB/SG JV"). AB maintains its additional option to sell its ownership interests in the AB/SG JV to SocGen after five years from the Initial Close, at the fair market value of AB’s interests in the AB/SG JV, subject to regulatory approval.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under management by distribution channel are as follows:</w:t>
      </w:r>
    </w:p>
    <w:tbl>
      <w:tblPr>
        <w:tblW w:w="6250" w:type="dxa"/>
        <w:jc w:val="left"/>
        <w:tblInd w:w="0" w:type="dxa"/>
        <w:tblLayout w:type="fixed"/>
        <w:tblCellMar>
          <w:top w:w="28" w:type="dxa"/>
          <w:left w:w="28" w:type="dxa"/>
          <w:bottom w:w="28" w:type="dxa"/>
          <w:right w:w="28" w:type="dxa"/>
        </w:tblCellMar>
      </w:tblPr>
      <w:tblGrid>
        <w:gridCol w:w="478"/>
        <w:gridCol w:w="419"/>
        <w:gridCol w:w="422"/>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55"/>
        <w:gridCol w:w="256"/>
        <w:gridCol w:w="63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 by investment service are as follows:</w:t>
      </w:r>
    </w:p>
    <w:tbl>
      <w:tblPr>
        <w:tblW w:w="8456" w:type="dxa"/>
        <w:jc w:val="left"/>
        <w:tblInd w:w="0" w:type="dxa"/>
        <w:tblLayout w:type="fixed"/>
        <w:tblCellMar>
          <w:top w:w="28" w:type="dxa"/>
          <w:left w:w="28" w:type="dxa"/>
          <w:bottom w:w="28" w:type="dxa"/>
          <w:right w:w="28" w:type="dxa"/>
        </w:tblCellMar>
      </w:tblPr>
      <w:tblGrid>
        <w:gridCol w:w="1267"/>
        <w:gridCol w:w="1117"/>
        <w:gridCol w:w="1126"/>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62"/>
        <w:gridCol w:w="264"/>
        <w:gridCol w:w="636"/>
      </w:tblGrid>
      <w:tr>
        <w:trPr/>
        <w:tc>
          <w:tcPr>
            <w:tcW w:w="12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Managed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Managed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Alternatives/Multi-Asset Solutions</w:t>
            </w:r>
            <w:r>
              <w:rPr>
                <w:rFonts w:ascii="Times New Roman;serif" w:hAnsi="Times New Roman;serif"/>
                <w:b/>
                <w:color w:val="000000"/>
                <w:sz w:val="13"/>
              </w:rPr>
              <w:t>(2)</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Actively Managed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Alternatives/Multi-Asset Solutions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rFonts w:ascii="Times New Roman;serif" w:hAnsi="Times New Roman;serif"/>
          <w:b w:val="false"/>
          <w:color w:val="000000"/>
          <w:sz w:val="18"/>
        </w:rPr>
        <w:t>Includes certain multi-asset solutions and services not included in equity or fixed income services.</w:t>
      </w:r>
    </w:p>
    <w:p>
      <w:pPr>
        <w:pStyle w:val="TextBody"/>
        <w:bidi w:val="0"/>
        <w:spacing w:before="0" w:after="0"/>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under management for the three-month, six-month and twelve-month periods ended June 30, 2026 are as follows:</w:t>
      </w:r>
    </w:p>
    <w:p>
      <w:pPr>
        <w:pStyle w:val="TextBody"/>
        <w:bidi w:val="0"/>
        <w:spacing w:before="0" w:after="0"/>
        <w:jc w:val="left"/>
        <w:rPr/>
      </w:pPr>
      <w:r>
        <w:rPr/>
      </w:r>
    </w:p>
    <w:tbl>
      <w:tblPr>
        <w:tblW w:w="7825" w:type="dxa"/>
        <w:jc w:val="left"/>
        <w:tblInd w:w="0" w:type="dxa"/>
        <w:tblLayout w:type="fixed"/>
        <w:tblCellMar>
          <w:top w:w="28" w:type="dxa"/>
          <w:left w:w="28" w:type="dxa"/>
          <w:bottom w:w="28" w:type="dxa"/>
          <w:right w:w="28" w:type="dxa"/>
        </w:tblCellMar>
      </w:tblPr>
      <w:tblGrid>
        <w:gridCol w:w="1049"/>
        <w:gridCol w:w="920"/>
        <w:gridCol w:w="926"/>
        <w:gridCol w:w="233"/>
        <w:gridCol w:w="697"/>
        <w:gridCol w:w="121"/>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Channel</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Institutions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w:t>
              <w:br/>
              <w:t>Wealth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inflows (outflows)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69"/>
        <w:gridCol w:w="263"/>
        <w:gridCol w:w="265"/>
        <w:gridCol w:w="211"/>
        <w:gridCol w:w="631"/>
        <w:gridCol w:w="109"/>
        <w:gridCol w:w="109"/>
        <w:gridCol w:w="109"/>
        <w:gridCol w:w="109"/>
        <w:gridCol w:w="235"/>
        <w:gridCol w:w="589"/>
        <w:gridCol w:w="123"/>
        <w:gridCol w:w="109"/>
        <w:gridCol w:w="109"/>
        <w:gridCol w:w="109"/>
        <w:gridCol w:w="211"/>
        <w:gridCol w:w="631"/>
        <w:gridCol w:w="109"/>
        <w:gridCol w:w="109"/>
        <w:gridCol w:w="109"/>
        <w:gridCol w:w="109"/>
        <w:gridCol w:w="224"/>
        <w:gridCol w:w="561"/>
        <w:gridCol w:w="117"/>
        <w:gridCol w:w="109"/>
        <w:gridCol w:w="109"/>
        <w:gridCol w:w="109"/>
        <w:gridCol w:w="235"/>
        <w:gridCol w:w="589"/>
        <w:gridCol w:w="123"/>
        <w:gridCol w:w="109"/>
        <w:gridCol w:w="109"/>
        <w:gridCol w:w="109"/>
        <w:gridCol w:w="275"/>
        <w:gridCol w:w="825"/>
        <w:gridCol w:w="144"/>
        <w:gridCol w:w="109"/>
        <w:gridCol w:w="109"/>
        <w:gridCol w:w="109"/>
        <w:gridCol w:w="211"/>
        <w:gridCol w:w="631"/>
        <w:gridCol w:w="162"/>
      </w:tblGrid>
      <w:tr>
        <w:trPr/>
        <w:tc>
          <w:tcPr>
            <w:tcW w:w="7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Service</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br/>
              <w:t>Actively</w:t>
              <w:br/>
              <w:t>Managed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Passively</w:t>
            </w:r>
          </w:p>
          <w:p>
            <w:pPr>
              <w:pStyle w:val="TableContents"/>
              <w:bidi w:val="0"/>
              <w:spacing w:lineRule="auto" w:line="240" w:before="0" w:after="0"/>
              <w:jc w:val="center"/>
              <w:rPr/>
            </w:pPr>
            <w:r>
              <w:rPr>
                <w:rFonts w:ascii="Times New Roman;serif" w:hAnsi="Times New Roman;serif"/>
                <w:b/>
                <w:color w:val="000000"/>
                <w:sz w:val="20"/>
              </w:rPr>
              <w:t>Managed</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Income</w:t>
              <w:br/>
              <w:t>Actively</w:t>
              <w:br/>
              <w:t>Managed -</w:t>
              <w:br/>
              <w:t>Taxable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Income</w:t>
              <w:br/>
              <w:t>Actively</w:t>
              <w:br/>
              <w:t>Managed -</w:t>
              <w:br/>
              <w:t>Tax-</w:t>
              <w:br/>
              <w:t>Exempt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Fixed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Passively</w:t>
            </w:r>
          </w:p>
          <w:p>
            <w:pPr>
              <w:pStyle w:val="TableContents"/>
              <w:bidi w:val="0"/>
              <w:spacing w:lineRule="auto" w:line="240" w:before="0" w:after="0"/>
              <w:jc w:val="center"/>
              <w:rPr/>
            </w:pPr>
            <w:r>
              <w:rPr>
                <w:rFonts w:ascii="Times New Roman;serif" w:hAnsi="Times New Roman;serif"/>
                <w:b/>
                <w:color w:val="000000"/>
                <w:sz w:val="20"/>
              </w:rPr>
              <w:t>Managed</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Alternatives/ Multi-Asset Solutions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Includes index and enhanced index services.</w:t>
      </w:r>
    </w:p>
    <w:p>
      <w:pPr>
        <w:pStyle w:val="TextBody"/>
        <w:bidi w:val="0"/>
        <w:spacing w:lineRule="auto" w:line="288"/>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Includes certain multi-asset solutions and services not included in equity or fixed income services.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long-term inflows (outflows) for actively managed investment services as compared to passively managed investment services for the three-month, six-month and twelve-month periods ended June 30, 2026 are as follows:</w:t>
      </w:r>
    </w:p>
    <w:tbl>
      <w:tblPr>
        <w:tblW w:w="7721" w:type="dxa"/>
        <w:jc w:val="center"/>
        <w:tblInd w:w="0" w:type="dxa"/>
        <w:tblLayout w:type="fixed"/>
        <w:tblCellMar>
          <w:top w:w="28" w:type="dxa"/>
          <w:left w:w="28" w:type="dxa"/>
          <w:bottom w:w="28" w:type="dxa"/>
          <w:right w:w="28" w:type="dxa"/>
        </w:tblCellMar>
      </w:tblPr>
      <w:tblGrid>
        <w:gridCol w:w="1190"/>
        <w:gridCol w:w="1044"/>
        <w:gridCol w:w="1050"/>
        <w:gridCol w:w="321"/>
        <w:gridCol w:w="802"/>
        <w:gridCol w:w="168"/>
        <w:gridCol w:w="109"/>
        <w:gridCol w:w="109"/>
        <w:gridCol w:w="109"/>
        <w:gridCol w:w="262"/>
        <w:gridCol w:w="653"/>
        <w:gridCol w:w="136"/>
        <w:gridCol w:w="109"/>
        <w:gridCol w:w="109"/>
        <w:gridCol w:w="109"/>
        <w:gridCol w:w="290"/>
        <w:gridCol w:w="723"/>
        <w:gridCol w:w="428"/>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Periods Ended June 30, 2026</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Twelve-months</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Actively Managed</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 xml:space="preserve">Fixed Income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Alternatives/Multi-Asset Solutions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Actively Managed</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Passively Managed</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 xml:space="preserve">Fixed Income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Alternatives/Multi-Asset Solutions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Passively Managed</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long-term inflows (outflows)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assets under management by distribution channel and investment service are as follows:</w:t>
      </w:r>
    </w:p>
    <w:p>
      <w:pPr>
        <w:pStyle w:val="TextBody"/>
        <w:bidi w:val="0"/>
        <w:spacing w:before="0" w:after="0"/>
        <w:jc w:val="left"/>
        <w:rPr/>
      </w:pPr>
      <w:r>
        <w:rPr/>
      </w:r>
    </w:p>
    <w:tbl>
      <w:tblPr>
        <w:tblW w:w="11716" w:type="dxa"/>
        <w:jc w:val="left"/>
        <w:tblInd w:w="0" w:type="dxa"/>
        <w:tblLayout w:type="fixed"/>
        <w:tblCellMar>
          <w:top w:w="28" w:type="dxa"/>
          <w:left w:w="28" w:type="dxa"/>
          <w:bottom w:w="28" w:type="dxa"/>
          <w:right w:w="28" w:type="dxa"/>
        </w:tblCellMar>
      </w:tblPr>
      <w:tblGrid>
        <w:gridCol w:w="528"/>
        <w:gridCol w:w="358"/>
        <w:gridCol w:w="360"/>
        <w:gridCol w:w="109"/>
        <w:gridCol w:w="109"/>
        <w:gridCol w:w="109"/>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62"/>
        <w:gridCol w:w="264"/>
        <w:gridCol w:w="575"/>
        <w:gridCol w:w="109"/>
        <w:gridCol w:w="109"/>
        <w:gridCol w:w="109"/>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55"/>
        <w:gridCol w:w="256"/>
        <w:gridCol w:w="636"/>
      </w:tblGrid>
      <w:tr>
        <w:trPr/>
        <w:tc>
          <w:tcPr>
            <w:tcW w:w="5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Distribution Channel: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Investment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Actively Managed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Passively Managed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Actively Managed – Taxable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Actively Managed – Tax-exempt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Income Passively Managed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Alternatives/Multi-Asset Solutions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rFonts w:ascii="Times New Roman;serif" w:hAnsi="Times New Roman;serif"/>
          <w:b w:val="false"/>
          <w:color w:val="000000"/>
          <w:sz w:val="18"/>
        </w:rPr>
        <w:t xml:space="preserve">Includes certain multi-asset solutions and services not included in equity or fixed income services. </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Our Institutional channel second quarter average AUM of $363.1 billion increased $34.1 billion, or 10.4%, compared to the second quarter of 2025, while Institutional channel second quarter ending AUM increased $31.1 billion, or 9.1%, to $371.1 billion from June 30, 2025. The $31.1 billion increase in AUM resulted primarily from market appreciation of $35.2 billion, partially offset by net outflows of $5.2 billion from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Retail channel second quarter average AUM of $355.1 billion increased $23.8 billion, or 7.2%, compared to the second quarter of 2025, while Retail channel second quarter ending AUM increased $22.6 billion, or 6.6%, to $367.3 billion from June 30, 2025. The $22.6 billion increase resulted primarily from market appreciation of $33.8 billion, partially offset by net outflows of $10.1 billion from June 30,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Private Wealth channel second quarter average AUM of $163.0 billion increased $23.8 billion, or 17.0%, compared to the second quarter of 2025, while Private Wealth channel second quarter ending AUM increased $22.7 billion, or 15.7%, to $167.1 billion from June 30, 2025. The $22.7 billion increase resulted from market appreciation of $20.7 billion and net inflows of $2.0 billion from June 30, 2025.</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Absolute investment composite returns, gross of fees, and relative performance as of June 30, 2026 compared to benchmarks for certain representative Institutional equity and fixed income services are as follows:</w:t>
      </w:r>
    </w:p>
    <w:tbl>
      <w:tblPr>
        <w:tblW w:w="9998" w:type="dxa"/>
        <w:jc w:val="center"/>
        <w:tblInd w:w="0" w:type="dxa"/>
        <w:tblLayout w:type="fixed"/>
        <w:tblCellMar>
          <w:top w:w="28" w:type="dxa"/>
          <w:left w:w="28" w:type="dxa"/>
          <w:bottom w:w="28" w:type="dxa"/>
          <w:right w:w="28" w:type="dxa"/>
        </w:tblCellMar>
      </w:tblPr>
      <w:tblGrid>
        <w:gridCol w:w="2271"/>
        <w:gridCol w:w="1996"/>
        <w:gridCol w:w="2003"/>
        <w:gridCol w:w="290"/>
        <w:gridCol w:w="295"/>
        <w:gridCol w:w="383"/>
        <w:gridCol w:w="109"/>
        <w:gridCol w:w="109"/>
        <w:gridCol w:w="109"/>
        <w:gridCol w:w="291"/>
        <w:gridCol w:w="294"/>
        <w:gridCol w:w="475"/>
        <w:gridCol w:w="109"/>
        <w:gridCol w:w="109"/>
        <w:gridCol w:w="109"/>
        <w:gridCol w:w="254"/>
        <w:gridCol w:w="257"/>
        <w:gridCol w:w="535"/>
      </w:tblGrid>
      <w:tr>
        <w:trPr/>
        <w:tc>
          <w:tcPr>
            <w:tcW w:w="227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3-Year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5-Year</w:t>
            </w:r>
            <w:r>
              <w:rPr>
                <w:rFonts w:ascii="Times New Roman;serif" w:hAnsi="Times New Roman;serif"/>
                <w:b/>
                <w:color w:val="000000"/>
                <w:sz w:val="13"/>
              </w:rPr>
              <w:t>(1)</w:t>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(fixed income)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U.S. Aggregate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High Income (fixed income)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Global High Yield Index - Hedged)</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Plus - Hedged (fixed income)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Global Aggregate Index - Hedged)</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Intermediate Municipal Bonds (fixed income)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Lipper Short/Int. Blended Muni Fund Avg)</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Core Fixed Income (fixed income)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U.S. Aggregate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Emerging Market Debt (fixed income)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JPM EMBI Global/JPM EMBI)</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Sustainable Global Thematic</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ACWI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Strategic Core Equity</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EAFE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&amp; Mid Cap Value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2500 Value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Large Cap Value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1000 Value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Cap Growth</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2000 Growth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7396" w:type="dxa"/>
        <w:jc w:val="center"/>
        <w:tblInd w:w="0" w:type="dxa"/>
        <w:tblLayout w:type="fixed"/>
        <w:tblCellMar>
          <w:top w:w="28" w:type="dxa"/>
          <w:left w:w="28" w:type="dxa"/>
          <w:bottom w:w="28" w:type="dxa"/>
          <w:right w:w="28" w:type="dxa"/>
        </w:tblCellMar>
      </w:tblPr>
      <w:tblGrid>
        <w:gridCol w:w="1481"/>
        <w:gridCol w:w="1305"/>
        <w:gridCol w:w="1308"/>
        <w:gridCol w:w="317"/>
        <w:gridCol w:w="268"/>
        <w:gridCol w:w="231"/>
        <w:gridCol w:w="109"/>
        <w:gridCol w:w="109"/>
        <w:gridCol w:w="109"/>
        <w:gridCol w:w="293"/>
        <w:gridCol w:w="293"/>
        <w:gridCol w:w="286"/>
        <w:gridCol w:w="109"/>
        <w:gridCol w:w="109"/>
        <w:gridCol w:w="109"/>
        <w:gridCol w:w="293"/>
        <w:gridCol w:w="293"/>
        <w:gridCol w:w="374"/>
      </w:tblGrid>
      <w:tr>
        <w:trPr/>
        <w:tc>
          <w:tcPr>
            <w:tcW w:w="14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3-Year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5-Year</w:t>
            </w:r>
            <w:r>
              <w:rPr>
                <w:rFonts w:ascii="Times New Roman;serif" w:hAnsi="Times New Roman;serif"/>
                <w:b/>
                <w:color w:val="000000"/>
                <w:sz w:val="13"/>
              </w:rPr>
              <w:t>(1)</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Large Cap Growth</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1000 Growth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&amp; Mid Cap Growth</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2500 Growth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Concentrated U.S. Growth</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U.S. Equity</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Strategic Equities</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3000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Core Equity</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ACWI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Strategic Core Equity</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U.S. Equity Long/Short</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Global Strategic Core Equity </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World Index - Hedged)</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Reflects annualized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14233" w:type="dxa"/>
        <w:jc w:val="left"/>
        <w:tblInd w:w="0" w:type="dxa"/>
        <w:tblLayout w:type="fixed"/>
        <w:tblCellMar>
          <w:top w:w="28" w:type="dxa"/>
          <w:left w:w="28" w:type="dxa"/>
          <w:bottom w:w="28" w:type="dxa"/>
          <w:right w:w="28" w:type="dxa"/>
        </w:tblCellMar>
      </w:tblPr>
      <w:tblGrid>
        <w:gridCol w:w="569"/>
        <w:gridCol w:w="502"/>
        <w:gridCol w:w="340"/>
        <w:gridCol w:w="109"/>
        <w:gridCol w:w="109"/>
        <w:gridCol w:w="109"/>
        <w:gridCol w:w="211"/>
        <w:gridCol w:w="976"/>
        <w:gridCol w:w="271"/>
        <w:gridCol w:w="109"/>
        <w:gridCol w:w="109"/>
        <w:gridCol w:w="109"/>
        <w:gridCol w:w="211"/>
        <w:gridCol w:w="976"/>
        <w:gridCol w:w="271"/>
        <w:gridCol w:w="109"/>
        <w:gridCol w:w="109"/>
        <w:gridCol w:w="109"/>
        <w:gridCol w:w="211"/>
        <w:gridCol w:w="721"/>
        <w:gridCol w:w="109"/>
        <w:gridCol w:w="109"/>
        <w:gridCol w:w="109"/>
        <w:gridCol w:w="109"/>
        <w:gridCol w:w="255"/>
        <w:gridCol w:w="256"/>
        <w:gridCol w:w="551"/>
        <w:gridCol w:w="109"/>
        <w:gridCol w:w="109"/>
        <w:gridCol w:w="109"/>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255"/>
        <w:gridCol w:w="256"/>
        <w:gridCol w:w="614"/>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of consolidated entities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margin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Operating income excluding net income (loss) attributable to non-controlling interests as a percentage of net revenues.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 for the three months ended June 30, 2026 increased $44.8 million, or 21.3%, from the three months ended June 30, 2025. The increase primarily is due to (in millions):</w:t>
      </w:r>
    </w:p>
    <w:tbl>
      <w:tblPr>
        <w:tblW w:w="7641" w:type="dxa"/>
        <w:jc w:val="left"/>
        <w:tblInd w:w="0" w:type="dxa"/>
        <w:tblLayout w:type="fixed"/>
        <w:tblCellMar>
          <w:top w:w="28" w:type="dxa"/>
          <w:left w:w="28" w:type="dxa"/>
          <w:bottom w:w="28" w:type="dxa"/>
          <w:right w:w="28" w:type="dxa"/>
        </w:tblCellMar>
      </w:tblPr>
      <w:tblGrid>
        <w:gridCol w:w="2447"/>
        <w:gridCol w:w="2148"/>
        <w:gridCol w:w="2155"/>
        <w:gridCol w:w="211"/>
        <w:gridCol w:w="526"/>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advisory base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gains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general and administrative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performance-based fees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employee compensation and benefits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net income of consolidated entities attributable to non-controlling interest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 for the six months ended June 30, 2026 increased $119.4 million, or 27.7%, from the six months ended June 30, 2025. The increase primarily is due to (in millions):</w:t>
      </w:r>
    </w:p>
    <w:tbl>
      <w:tblPr>
        <w:tblW w:w="7746" w:type="dxa"/>
        <w:jc w:val="left"/>
        <w:tblInd w:w="0" w:type="dxa"/>
        <w:tblLayout w:type="fixed"/>
        <w:tblCellMar>
          <w:top w:w="28" w:type="dxa"/>
          <w:left w:w="28" w:type="dxa"/>
          <w:bottom w:w="28" w:type="dxa"/>
          <w:right w:w="28" w:type="dxa"/>
        </w:tblCellMar>
      </w:tblPr>
      <w:tblGrid>
        <w:gridCol w:w="2447"/>
        <w:gridCol w:w="2148"/>
        <w:gridCol w:w="2155"/>
        <w:gridCol w:w="211"/>
        <w:gridCol w:w="631"/>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Higher investment gains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advisory base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performance-based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general and administrative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distribution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employee compensation and benefits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net income of consolidated entities attributable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(2)</w:t>
      </w:r>
      <w:r>
        <w:rPr>
          <w:rFonts w:ascii="Times New Roman;serif" w:hAnsi="Times New Roman;serif"/>
          <w:b w:val="false"/>
          <w:color w:val="000000"/>
          <w:sz w:val="18"/>
        </w:rPr>
        <w:t>During the first quarter of 2026, we recognized a gain of $48.4 million related to the exercise of the AB option</w:t>
      </w:r>
      <w:r>
        <w:rPr>
          <w:color w:val="000000"/>
        </w:rPr>
        <w:t xml:space="preserve"> </w:t>
      </w:r>
      <w:r>
        <w:rPr>
          <w:rFonts w:ascii="Times New Roman;serif" w:hAnsi="Times New Roman;serif"/>
          <w:b w:val="false"/>
          <w:i/>
          <w:color w:val="000000"/>
          <w:sz w:val="18"/>
        </w:rPr>
        <w:t>as discussed above under Joint Venture with Societe Generale in this Item 2</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Units Outstanding; Unit Repurchases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quarter, we consider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we select has the authority to repurchase AB Holding Units on our behalf in accordance with the terms and limitations specified in the plan. Repurchases are subject to regulations promulgated by the SEC, as well as certain price, market volume and timing constraints specified in the plan. The plan adopted during the second quarter of 2026 expired at the close of business on July 27, 2026. We may adopt additional plans in the future to engage in open-market purchases of AB Holding Units for anticipated obligations under our incentive compensation award program and for other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Distributions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required to distribute all of our Available Cash Flow, as defined in the AB Partnership Agreement, to our Unitholders and the General Partner. Available Cash Flow typically is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r>
        <w:rPr>
          <w:rFonts w:ascii="Times New Roman;serif" w:hAnsi="Times New Roman;serif"/>
          <w:b w:val="false"/>
          <w:i/>
          <w:color w:val="000000"/>
          <w:sz w:val="20"/>
        </w:rPr>
        <w:t>See Note 6 to our condensed consolidated financial statements contained in Item 1</w:t>
      </w:r>
      <w:r>
        <w:rPr>
          <w:color w:val="000000"/>
        </w:rPr>
        <w:t xml:space="preserve"> </w:t>
      </w:r>
      <w:r>
        <w:rPr>
          <w:rFonts w:ascii="Times New Roman;serif" w:hAnsi="Times New Roman;serif"/>
          <w:b w:val="false"/>
          <w:color w:val="000000"/>
          <w:sz w:val="20"/>
        </w:rPr>
        <w:t>for a description of Available Cash Flow.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Management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providing the non-GAAP measures “adjusted net revenues,” “adjusted operating income” and “adjusted operating margin” because they are additional operating metrics management uses in evaluating and comparing period-to-period operating performance. Management uses these additional metrics in evaluating performance because they present a clearer picture of our operating performance and allow management to see long-term trends without the distortion primarily caused by long-term incentive compensation-related mark-to-market adjustments, acquisition-related expenses, interest expense and other adjustment items. Similarly, we believe that these management operating metrics help investors better understand the underlying trends in our results and, accordingly, provide a valuable perspective for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the non-GAAP measures "adjusted net income" and "adjusted net income per Unit" because our quarterly distribution per unit is typically our adjusted net income per unit (which is derived from adjusted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non-GAAP measures are provided in addition to, and not as substitutes for, net revenues, operating income and operating</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margin, and they may not be comparable to non-GAAP measures presented by other companies. Management uses both accounting principles generally accepted in the United States of America ("US GAAP") and non-GAAP measures in evaluating our financial performance. The non-GAAP measures alone may pose limitations because they do not include all of our revenues and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3"/>
        <w:gridCol w:w="823"/>
        <w:gridCol w:w="662"/>
        <w:gridCol w:w="109"/>
        <w:gridCol w:w="109"/>
        <w:gridCol w:w="109"/>
        <w:gridCol w:w="211"/>
        <w:gridCol w:w="991"/>
        <w:gridCol w:w="301"/>
        <w:gridCol w:w="109"/>
        <w:gridCol w:w="109"/>
        <w:gridCol w:w="109"/>
        <w:gridCol w:w="211"/>
        <w:gridCol w:w="991"/>
        <w:gridCol w:w="301"/>
        <w:gridCol w:w="109"/>
        <w:gridCol w:w="109"/>
        <w:gridCol w:w="109"/>
        <w:gridCol w:w="211"/>
        <w:gridCol w:w="991"/>
        <w:gridCol w:w="301"/>
        <w:gridCol w:w="109"/>
        <w:gridCol w:w="109"/>
        <w:gridCol w:w="109"/>
        <w:gridCol w:w="211"/>
        <w:gridCol w:w="991"/>
        <w:gridCol w:w="348"/>
      </w:tblGrid>
      <w:tr>
        <w:trPr/>
        <w:tc>
          <w:tcPr>
            <w:tcW w:w="13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 US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consolidated company-sponsored investment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investment advisory and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(gain) loss on JV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other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887,547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844,434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1,758,683</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1,682,647</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US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289,152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222,094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615,952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458,463</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award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settlement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(gain) loss on JVs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other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Funds reimbursement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 before 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of consolidated entities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292,980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272,964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584,159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555,712</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285,881 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264,501 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569,853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540,111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269,287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246,859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537,522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505,382</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margin,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three months ended June 30, 2026 increased $20.0 million, or 7.3%, from the three months ended June 30, 2025, primarily due to higher investment advisory base fees of $56.6 million, partially offset by higher employee compensation and benefits expense of $21.7 million, lower performance-based fees of $5.8 million, lower investment gains of $5.3 million and higher general and administrative expense of $2.6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six months ended June 30, 2026 increased $28.4 million, or 5.1%, from the six months ended June 30, 2025, primarily due to higher investment advisory base fees of $94.1 million and higher other revenues of $4.0 million, partially offset by higher employee compensation and benefits expense of $39.5 million, lower performance-based fees of $22.0 million and higher general and administrative expense of $7.7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Revenues</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Net Revenue, as adjusted, excludes all of the company's distribution revenues, which are recorded as a separate line item on the consolidated statement of income, as well as a portion of investment advisory services fees received that is used to pay distribution and servicing costs. For certain products, based on the distinct arrangements, certain distribution fees are collected by us and passed through to third-party client intermediaries, while for certain other products, we collect investment advisory services fees and a portion is passed through to third-party client intermediaries. In both arrangements, the third-party client intermediary owns the relationship with the client and is responsible for performing services and distributing the product to the client on our behalf. We believe offsetting distribution revenues and certain investment advisory services fees is useful for our investors and other users of our financial statements because such presentation appropriately reflects the nature of these costs as pass-through payments to third parties that perform functions on behalf of our sponsored mutual funds and/or shareholders of these funds. Distribution-related adjustments fluctuate each period based on the type of investment products sold, as well as the average AUM over the period. Also, we adjust distribution revenues for the amortization of deferred sales commissions as these costs, over time, will offset such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investment advisory and services fees and other revenues for pass through costs, primarily related to our transfer agent and shareholder servicing fees. Also, we adjust for certain investment advisory and services fees passed through to our investment advisors. These fees do not affect operating income, as such, we exclude these fees from adjusted net revenues. We also adjust for certain pass through costs associated with the transition of services to the JV entered into with SocGen. These amounts are expensed by us and passed to the JV for reimbursement. These fees do not affect operating income, as such, we exclude these fees from adjusted net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adjust for the revenue impact of consolidating company-sponsored investment funds by eliminating the consolidated company-sponsored investment funds' revenues and including AB's fees from such consolidated company-sponsored investment funds and AB's investment gains and losses on its investments in such consolidated company-sponsored investment funds that were eliminated in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adjust investment advisory and services fees for pass through performance fees, primarily related to acquisition-related funds in which we do not participate in the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net revenues exclude investment gains and losses and dividends and interest on employee long-term incentive compensation-related investments. Also, we adjust for certain acquisition-related pass-through performance-based fees and performance related compensation.</w:t>
      </w:r>
    </w:p>
    <w:p>
      <w:pPr>
        <w:pStyle w:val="TextBody"/>
        <w:bidi w:val="0"/>
        <w:spacing w:lineRule="auto" w:line="283" w:before="120" w:after="283"/>
        <w:jc w:val="both"/>
        <w:rPr/>
      </w:pPr>
      <w:r>
        <w:rPr>
          <w:rFonts w:ascii="Times New Roman;serif" w:hAnsi="Times New Roman;serif"/>
          <w:b w:val="false"/>
          <w:color w:val="000000"/>
          <w:sz w:val="20"/>
        </w:rPr>
        <w:t>We also adjust net revenues to exclude our portion of the equity income or loss associated with our equity method investments, including our investment in the JV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the joint venture, we consider these amounts temporary, and as such, we exclude these amounts from our adjusted net revenues. On January 1, 2026, AB entered into an Amended and Restated Shareholder agreement with SocGen (the "Amendment Agreement") and exercised the AB option (</w:t>
      </w:r>
      <w:r>
        <w:rPr>
          <w:rFonts w:ascii="Times New Roman;serif" w:hAnsi="Times New Roman;serif"/>
          <w:b w:val="false"/>
          <w:i/>
          <w:color w:val="000000"/>
          <w:sz w:val="20"/>
        </w:rPr>
        <w:t>as discussed above</w:t>
      </w:r>
      <w:r>
        <w:rPr>
          <w:rFonts w:ascii="Times New Roman;serif" w:hAnsi="Times New Roman;serif"/>
          <w:b w:val="false"/>
          <w:color w:val="000000"/>
          <w:sz w:val="20"/>
        </w:rPr>
        <w:t xml:space="preserve">) to deliver a 17.7% interest in the NA JV to SocGen. The prepaid consideration received was in excess of the carrying value of the 17.7% equity in the NA JV resulting in a gain of $48.4 million recognized in the first quarter of 2026. </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Operating Income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represents operating income on a US GAAP basis excluding (1) the impact on net revenues and compensation expense of the investment gains and losses (as well as the dividends and interest) associated with employee long-term incentive compensation-related investments, (2) the equity compensation paid by EQH to certain AB executives, (3) retirement plan settlement loss, (4) acquisition-related expenses (income), (5) income (loss) related to our equity method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(6) AB Funds reimbursement expense, (7) interest on borrowings and (8) the impact of consolidated company-sponsored investment funds.</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incentive compensation awards that are notionally invested in AB investment services are economically hedged to reduce the firm's exposure to market movements through the purchase and holding of these investments on AB’s balance sheet. Fluctuation in the value of investments is recorded within investment gains and losses on the income statement. Management believes it is useful to reflect the offset achieved from economically hedging the market exposure of these investments in the calculation of adjusted operating income and adjusted operating margin. The non-GAAP measures exclude gains and losses and dividends and interest on employee long-term incentive compensation-related investments included in revenues and compensation expense.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of directors of EQH granted equity awards to Mr. Bernstein, our CEO, and other AB executives for their membership on the EQH Management Committee. These individuals may receive additional equity or cash compensation from EQH in the future related to their service on the Management Committee. Any awards granted to these individuals by EQH are recorded as compensation expense in AB’s consolidated statement of income. The compensation expense associated with these awards has been excluded from our non-GAAP measures because they are non-cash and are based upon EQH's, and not AB's, financial performance.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The (gains) losses associated with the termination of our defined benefit retirement plan are non-cash, short term in nature and not considered a part of our core operating results when comparing financial results from period to period.</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Acquisition-related expenses have been excluded because they are not considered part of our core operating results when comparing financial results from period to period and to industry peers. Acquisition-related expenses include professional fees, the recording of changes in estimates or fair value remeasurements to, and accretion expense related to, our contingent payment arrangements associated with our acquisitions, certain compensation-related expenses and amortization of intangible assets for contracts acquired.</w:t>
      </w:r>
    </w:p>
    <w:p>
      <w:pPr>
        <w:pStyle w:val="TextBody"/>
        <w:bidi w:val="0"/>
        <w:spacing w:lineRule="auto" w:line="283" w:before="120" w:after="283"/>
        <w:jc w:val="both"/>
        <w:rPr/>
      </w:pPr>
      <w:r>
        <w:rPr>
          <w:rFonts w:ascii="Times New Roman;serif" w:hAnsi="Times New Roman;serif"/>
          <w:b w:val="false"/>
          <w:color w:val="000000"/>
          <w:sz w:val="20"/>
        </w:rPr>
        <w:t>We also adjust operating income to exclude our portion of the equity income or loss associated with our equity method investments, including our investment in the JV and reinsurance sidecar,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the joint venture, we consider these amounts temporary, and as such, we exclude these amounts from our adjusted operating income. On January 1, 2026, AB entered into the Amendment Agreement with SocGen and exercised the AB option (</w:t>
      </w:r>
      <w:r>
        <w:rPr>
          <w:rFonts w:ascii="Times New Roman;serif" w:hAnsi="Times New Roman;serif"/>
          <w:b w:val="false"/>
          <w:i/>
          <w:color w:val="000000"/>
          <w:sz w:val="20"/>
        </w:rPr>
        <w:t>as discussed above</w:t>
      </w:r>
      <w:r>
        <w:rPr>
          <w:rFonts w:ascii="Times New Roman;serif" w:hAnsi="Times New Roman;serif"/>
          <w:b w:val="false"/>
          <w:color w:val="000000"/>
          <w:sz w:val="20"/>
        </w:rPr>
        <w:t xml:space="preserve">) to deliver a 17.7% interest in the NA JV to SocGen. The prepaid consideration received was in excess of the carrying value of the 17.7% equity in the NA JV resulting in a gain of $48.4 million recognized in the first quarter of 2026.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identified an error in the billing practices of a third-party service provider, who had over billed certain AB mutual funds for omnibus account services, sub-accounting services, and related transfer agency expenses in prior years. The matter remains in dispute with the service provider. In the second quarter of 2025, at the request of the mutual fund Board, AB agreed to reimburse the affected funds for the entirety of the overpayment plus interest. We have adjusted operating income to exclude these reimbursements. We believe adjusting for these costs is useful for our investors and other users of our financial statements as such presentation appropriately reflects the non-core nature of this expenditure.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operating income to exclude interest on borrowings in order to align with our industry peer group.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for the operating income impact of consolidating certain company-sponsored investment funds by eliminating the consolidated company-sponsored funds' revenues and expenses and including AB's revenues and expenses that were eliminated in consolidation. We also exclude the limited partner interests we do not own.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per AB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As previously discussed</w:t>
      </w:r>
      <w:r>
        <w:rPr>
          <w:rFonts w:ascii="Times New Roman;serif" w:hAnsi="Times New Roman;serif"/>
          <w:b w:val="false"/>
          <w:color w:val="000000"/>
          <w:sz w:val="20"/>
        </w:rPr>
        <w:t>, our quarterly distribution is typically our adjusted net income per Unit (which is derived from adjusted net income) for the quarter multiplied by the number of general and limited partnership interests outstanding at the end of the quarter. Adjusted net income is derived from adjusted operating income less interest expense and adjusted income taxes. Adjusted income taxes, used in calculating adjusted net income, are calculated using the GAAP effective tax rate adjusted for non-GAAP income tax adjustments.</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Operating Margin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Adjusted operating margin allows us to monitor our financial performance and efficiency from period to period without the volatility </w:t>
      </w:r>
      <w:r>
        <w:rPr>
          <w:rFonts w:ascii="Times New Roman;serif" w:hAnsi="Times New Roman;serif"/>
          <w:b w:val="false"/>
          <w:i/>
          <w:color w:val="000000"/>
          <w:sz w:val="20"/>
        </w:rPr>
        <w:t>noted above in our discussion of adjusted operating income</w:t>
      </w:r>
      <w:r>
        <w:rPr>
          <w:color w:val="000000"/>
        </w:rPr>
        <w:t xml:space="preserve"> </w:t>
      </w:r>
      <w:r>
        <w:rPr>
          <w:rFonts w:ascii="Times New Roman;serif" w:hAnsi="Times New Roman;serif"/>
          <w:b w:val="false"/>
          <w:color w:val="000000"/>
          <w:sz w:val="20"/>
        </w:rPr>
        <w:t>and to compare our performance to industry peers on a basis that better reflects our performance in our core business. Adjusted operating margin is derived by dividing adjusted operating income by adjusted net revenues.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Revenues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net revenues are as follows:</w:t>
      </w:r>
    </w:p>
    <w:tbl>
      <w:tblPr>
        <w:tblW w:w="14057" w:type="dxa"/>
        <w:jc w:val="left"/>
        <w:tblInd w:w="0" w:type="dxa"/>
        <w:tblLayout w:type="fixed"/>
        <w:tblCellMar>
          <w:top w:w="28" w:type="dxa"/>
          <w:left w:w="28" w:type="dxa"/>
          <w:bottom w:w="28" w:type="dxa"/>
          <w:right w:w="28" w:type="dxa"/>
        </w:tblCellMar>
      </w:tblPr>
      <w:tblGrid>
        <w:gridCol w:w="1000"/>
        <w:gridCol w:w="325"/>
        <w:gridCol w:w="326"/>
        <w:gridCol w:w="109"/>
        <w:gridCol w:w="109"/>
        <w:gridCol w:w="109"/>
        <w:gridCol w:w="211"/>
        <w:gridCol w:w="991"/>
        <w:gridCol w:w="109"/>
        <w:gridCol w:w="109"/>
        <w:gridCol w:w="109"/>
        <w:gridCol w:w="109"/>
        <w:gridCol w:w="211"/>
        <w:gridCol w:w="991"/>
        <w:gridCol w:w="109"/>
        <w:gridCol w:w="109"/>
        <w:gridCol w:w="109"/>
        <w:gridCol w:w="109"/>
        <w:gridCol w:w="211"/>
        <w:gridCol w:w="736"/>
        <w:gridCol w:w="109"/>
        <w:gridCol w:w="109"/>
        <w:gridCol w:w="109"/>
        <w:gridCol w:w="109"/>
        <w:gridCol w:w="262"/>
        <w:gridCol w:w="264"/>
        <w:gridCol w:w="551"/>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308"/>
        <w:gridCol w:w="308"/>
        <w:gridCol w:w="636"/>
      </w:tblGrid>
      <w:tr>
        <w:trPr/>
        <w:tc>
          <w:tcPr>
            <w:tcW w:w="10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and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203,216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Advisory and Services Fees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advisory and services fees are the largest component of our revenues. These fees generally are calculated as a percentage of the value of AUM as of a specified date, or as a percentage of the value of average AUM for the applicable billing period, and vary with the type of investment service, the size of account and the total amount of assets we manage for 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particular client. Accordingly, fee income generally increases or decreases as AUM increase or decrease and is affected by market appreciation or depreciation, the addition of new client accounts or client contributions of additional assets to existing accounts, withdrawals of assets from and termination of client accounts, purchases and redemptions of mutual fund shares, shifts of assets between accounts or products with different fee structures, and acquisitions. Our average basis points realized (investment advisory and services fees divided by average AUM) generally approximate 30 to 105 basis points for actively managed equity services, 10 to 65 basis points for actively-managed fixed income services and 1 to 50 basis points for passively managed services. Average basis points realized for other services could range from 3 basis points for certain Institutional third party managed services to over 190 basis points for certain Private Wealth Management alternative services. These ranges include all-inclusive fee arrangements (covering investment management, trade execution and other services) for our Private Wealth Management clients.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AUM using established market-based valuation methods and fair valuation (non-observable market) methods. Market-based valuation methods include: last sale/settle prices from an exchange for actively-traded listed equities, options and futures; evaluated bid prices from recognized pricing vendors for fixed income, asset-backed or mortgage-backed issues; mid prices from recognized pricing vendors and brokers for credit default swaps; and quoted bids or spreads from pricing vendors and brokers for other derivative products. Fair valuation methods include: discounted cash flow models or any other methodology that is validated and approved by our Valuation Committee and sub-committee (the "Valuation Committee") (see paragraph immediately below for more information regarding our Valuation Committee). Fair valuation methods are used only where AUM cannot be valued using market-based valuation methods, such as in the case of private equity or illiquid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Valuation Committee consisting of senior officers and employees, oversees a consistent framework of pricing and valuation of all investments held in client and AB portfolios. The Valuation Committee has adopted a Statement of Pricing Policies describing principles and policies that apply to pricing and valuing investments held in these portfolios. We also have a Pricing Group, which is overseen by the Valuation Committee and is responsible for managing the pricing process for all investments.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sometimes charge our clients performance-based fees. In these situations, we charge a base advisory fee and are eligible to earn an additional performance-based fee or incentive allocation that is calculated as either a percentage of absolute investment results or a percentage of investment results in excess of a stated benchmark over a specified period of time. Some performance-based fees include a high-watermark provision, which generally provides that if a client account underperforms relative to its performance target (whether absolute or relative to a specified benchmark), it must gain back such underperformance before we can collect future performance-based fees. Therefore, if we fail to achieve our performance target for a particular period, we will not earn a performance-based fee for that period and, for accounts with a high-watermark provision, our ability to earn future performance-based fees will be impaired. We are eligible to earn performance-based fees on 7.0%, 5.9% and 0.4% of the assets we manage for private wealth clients, institutional clients and retail clients, respectively (in total, 3.9% of our AUM).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investment advisory and services fees increased by $63.0 million, or 7.5%, from the three months ended June 30, 2025, due to a $55.0 million, or 6.8%, increase in base fees and a $8.0 million, or 20.7%, increase in performance-based fees. The increase in base fees is primarily due to an 10.2% increase in average AUM, partially offset by a decrease in portfolio fee rate. Performance-based fees increased primarily due to higher performance fees earned on our Credit Value and Select Absolute Alpha, partially offset by lower performance fees earned on our Private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investment advisory and services fees increased by $123.1 million, or 7.2%, from the six months ended June 30, 2025, due to a $86.3 million, or 5.3%, increase in base fees and a $36.8 million, or 48.4%, increase in performance-based fees. The increase in base fees is primarily due to an 9.7% increase in average AUM, partially offset by a decrease in portfolio fee rate. Performance-based fees increased primarily due to higher performance fees earned on our Credit Value and Select Absolute Alpha, partially offset by lower performance fees earned on our Private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Institutional base fees for the three months ended June 30, 2026 increased by $8.5 million, or 5.6%, from the three months ended June 30, 2025, primarily due to a 10.4% increase in average AUM, partially offset by a decrease in portfolio fee rate. Retail base fees for the three months ended June 30, 2026 increased by $10.2 million, or 2.6%, from the three months ended June 30, 2025, primarily due to a 7.2% increase in average AUM, partially offset by a decrease in portfolio fee rate. Private Wealth base fees for the three months ended June 30, 2026 increased $36.4 million, or 13.5%, from the three months ended June 30, 2025, primarily due to a 17.0% increase in average AUM, partially offset by a decrease in portfolio fee rate.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Institutional base fees for the six months ended June 30, 2026 increased by $12.4 million, or 4.1%, from the six months ended June 30, 2025, primarily due to a 10.2% increase in average AUM, partially offset by a decrease in portfolio fee rate. Retail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 fees for the six months ended June 30, 2026 increased by $12.1 million, or 1.6%, from the six months ended June 30, 2025, primarily due to a 6.5% increase in average AUM, partially offset by a decrease in portfolio fee rate. Private Wealth base fees for the six months ended June 30, 2026 increased $61.8 million, or 11.4%, from the six months ended June 30, 2025, primarily due to a 16.1% increase in average AUM, partially offset by a decrease in portfolio fee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Distribution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Two of our subsidiaries act as distributors and/or placement agents of company-sponsored mutual funds and receive distribution services fees from certain of those funds as full or partial reimbursement of the distribution expenses they incur. Period-over-period fluctuations of distribution revenues typically are in line with fluctuations of the corresponding average AUM of these mutual funds.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revenues for the three months ended June 30, 2026 increased $2.6 million, or 1.3%, compared to the three months ended June 30, 2025, primarily due to the corresponding average AUM of these mutual funds increasing 6.6%, partially offset by a shift in product mix to mutual funds which have lower distribution rates. Distribution revenues for the six months ended June 30, 2026 increased $6.4 million, or 1.6%, compared to the six months ended June 30, 2025, primarily due to the corresponding average AUM of these mutual funds increasing 5.7%, partially offset by a shift in product mix to mutual funds which have lower distribution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 and Interest Income and Broker-Dealer Related 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Dividend and interest income consists primarily of investment income and interest earned on customer margin balances and U.S. Treasury Bills as well as dividend and interest income in our consolidated company-sponsored investment funds. Broker-dealer related interest expense principally reflects interest accrued on cash balances in customers’ brokerage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dividend and interest income decreased $6.9 million, or 19.2%, compared to the three months ended June 30, 2025, primarily due to lower interest earned on customer margin accounts and U.S. Treasury Bills. For the six months ended June 30, 2026, dividend and interest income decreased $10.8 million, or 15.3%, compared to the six months ended June 30, 2025, primarily due to lower interest earned on customer margin accounts and U.S. Treasury Bills.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Broker-dealer related interest expense for the three months ended June 30, 2026 decreased $3.2 million, or 20.1%, compared to the three months ended June 30, 2025, primarily due to lower interest paid on cash balances in customers' brokerage accounts, as a result of lower interest rates and lower cash balances in client accounts. Broker-dealer related interest expense for the six months ended June 30, 2026 decreased $7.7 million, or 23.1%, compared to the six months ended June 30, 2025, primarily due to lower interest paid on cash balances in customers' brokerage accounts, as a result of lower interest rates and lower cash balances in client accounts.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Gains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gains (losses) consist primarily of realized and unrealized investment gains or losses on: (i) employee long-term incentive compensation-related investments, (ii) U.S. Treasury Bills, (iii) seed capital investments, (iv) derivatives and (v) investments in our consolidated company-sponsored investment funds. Investment gains (losses) also include equity in earnings of proprietary investments in limited partnership hedge funds that we sponsor and manage and equity gains (losses) related to our equity investments in the JV.</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gains (losses) are as follows:</w:t>
      </w:r>
    </w:p>
    <w:tbl>
      <w:tblPr>
        <w:tblW w:w="10205" w:type="dxa"/>
        <w:jc w:val="left"/>
        <w:tblInd w:w="0" w:type="dxa"/>
        <w:tblLayout w:type="fixed"/>
        <w:tblCellMar>
          <w:top w:w="28" w:type="dxa"/>
          <w:left w:w="28" w:type="dxa"/>
          <w:bottom w:w="28" w:type="dxa"/>
          <w:right w:w="28" w:type="dxa"/>
        </w:tblCellMar>
      </w:tblPr>
      <w:tblGrid>
        <w:gridCol w:w="1638"/>
        <w:gridCol w:w="1438"/>
        <w:gridCol w:w="1443"/>
        <w:gridCol w:w="109"/>
        <w:gridCol w:w="109"/>
        <w:gridCol w:w="109"/>
        <w:gridCol w:w="223"/>
        <w:gridCol w:w="779"/>
        <w:gridCol w:w="115"/>
        <w:gridCol w:w="115"/>
        <w:gridCol w:w="115"/>
        <w:gridCol w:w="115"/>
        <w:gridCol w:w="223"/>
        <w:gridCol w:w="708"/>
        <w:gridCol w:w="115"/>
        <w:gridCol w:w="109"/>
        <w:gridCol w:w="109"/>
        <w:gridCol w:w="109"/>
        <w:gridCol w:w="211"/>
        <w:gridCol w:w="736"/>
        <w:gridCol w:w="109"/>
        <w:gridCol w:w="109"/>
        <w:gridCol w:w="109"/>
        <w:gridCol w:w="109"/>
        <w:gridCol w:w="211"/>
        <w:gridCol w:w="772"/>
        <w:gridCol w:w="158"/>
      </w:tblGrid>
      <w:tr>
        <w:trPr/>
        <w:tc>
          <w:tcPr>
            <w:tcW w:w="16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incentive compensation-related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ce86641bec7846aa95fa890d23e1f6d9_4-6-1-"/>
            <w:bookmarkEnd w:id="1"/>
            <w:r>
              <w:rPr>
                <w:rFonts w:ascii="Times New Roman;serif" w:hAnsi="Times New Roman;serif"/>
                <w:b w:val="false"/>
                <w:color w:val="000000"/>
                <w:sz w:val="20"/>
              </w:rPr>
              <w:t>11,576 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 held by consolidated company-sponsored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 capital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Brokerage-related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JV</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other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(7,825)</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During the first quarter of 2026, we recognized a gain of $48.4 million related to the exercise of the AB option a</w:t>
      </w:r>
      <w:r>
        <w:rPr>
          <w:rFonts w:ascii="Times New Roman;serif" w:hAnsi="Times New Roman;serif"/>
          <w:b w:val="false"/>
          <w:i/>
          <w:color w:val="000000"/>
          <w:sz w:val="18"/>
        </w:rPr>
        <w:t>s discussed above under Joint Venture with Societe Generale in this Item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revenues consist of fees earned for transfer agency services provided to company-sponsored mutual funds, fees earned for administration and recordkeeping services provided to company-sponsored mutual funds and the General Accounts of EQH and its subsidiaries, and other miscellaneous revenues. Other revenues for the three months ended June 30, 2026 decreased $1.0 million, or 2.9%, compared to the three months ended June 30, 2025, primarily due to lower JV-related revenue reimbursements, partially offset by higher shareholder servicing fees. Other revenues for the six months ended June 30, 2026 increased $4.0 million, or 6.3%, compared to the six months ended June 30, 2025, primarily due to higher shareholder servicing fees, partially offset by lower JV related revenue reimbursements.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expenses are as follows:</w:t>
      </w:r>
    </w:p>
    <w:tbl>
      <w:tblPr>
        <w:tblW w:w="13637" w:type="dxa"/>
        <w:jc w:val="left"/>
        <w:tblInd w:w="0" w:type="dxa"/>
        <w:tblLayout w:type="fixed"/>
        <w:tblCellMar>
          <w:top w:w="28" w:type="dxa"/>
          <w:left w:w="28" w:type="dxa"/>
          <w:bottom w:w="28" w:type="dxa"/>
          <w:right w:w="28" w:type="dxa"/>
        </w:tblCellMar>
      </w:tblPr>
      <w:tblGrid>
        <w:gridCol w:w="922"/>
        <w:gridCol w:w="401"/>
        <w:gridCol w:w="403"/>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63"/>
        <w:gridCol w:w="263"/>
        <w:gridCol w:w="551"/>
        <w:gridCol w:w="109"/>
        <w:gridCol w:w="109"/>
        <w:gridCol w:w="109"/>
        <w:gridCol w:w="211"/>
        <w:gridCol w:w="991"/>
        <w:gridCol w:w="109"/>
        <w:gridCol w:w="109"/>
        <w:gridCol w:w="109"/>
        <w:gridCol w:w="109"/>
        <w:gridCol w:w="211"/>
        <w:gridCol w:w="991"/>
        <w:gridCol w:w="109"/>
        <w:gridCol w:w="109"/>
        <w:gridCol w:w="109"/>
        <w:gridCol w:w="109"/>
        <w:gridCol w:w="211"/>
        <w:gridCol w:w="736"/>
        <w:gridCol w:w="109"/>
        <w:gridCol w:w="109"/>
        <w:gridCol w:w="109"/>
        <w:gridCol w:w="109"/>
        <w:gridCol w:w="262"/>
        <w:gridCol w:w="264"/>
        <w:gridCol w:w="636"/>
      </w:tblGrid>
      <w:tr>
        <w:trPr/>
        <w:tc>
          <w:tcPr>
            <w:tcW w:w="9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Promotion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execution, marketing, T&amp;E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881,852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866,813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1,756,778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1,711,051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Employee Compensation and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consists of base compensation (including salaries and severance), annual short-term incentive compensation awards (cash bonuses), annual long-term incentive compensation awards, commissions, fringe benefits and other employment costs (including recruitment, training, temporary help and meals).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Compensation expense as a percentage of net revenues was 40.2% and 40.4% for the three months ended June 30, 2026 and 2025, respectively. Compensation expense as a percentage of net revenues was 39.6% for both the six months ended June 30, 2026 and 2025. Compensation expense generally is determined on a discretionary basis and is primarily a function of our firm’s current-year financial performance. The amounts of incentive compensation we award are designed to motivate, reward and retain top talent while aligning our executives' interests with the interests of our Unitholders. Senior management, with the Compensation and Workplace Practices Committee of the Board of Directors of AllianceBernstein Corporation (“Compensation Committee”), continue to believe that the appropriate metric to consider in determining the amount of incentive compensation is the ratio of adjusted employee compensation and benefits expense to adjusted net revenues. Adjusted net revenues used in the adjusted compensation ratio are the same as the adjusted net revenues presented as a non-GAAP measure (</w:t>
      </w:r>
      <w:r>
        <w:rPr>
          <w:rFonts w:ascii="Times New Roman;serif" w:hAnsi="Times New Roman;serif"/>
          <w:b w:val="false"/>
          <w:i/>
          <w:color w:val="000000"/>
          <w:sz w:val="20"/>
        </w:rPr>
        <w:t>discussed earlier in this Item 2</w:t>
      </w:r>
      <w:r>
        <w:rPr>
          <w:rFonts w:ascii="Times New Roman;serif" w:hAnsi="Times New Roman;serif"/>
          <w:b w:val="false"/>
          <w:color w:val="000000"/>
          <w:sz w:val="20"/>
        </w:rPr>
        <w:t xml:space="preserve">). Adjusted employee compensation and benefits expense is total employee compensation and benefits expense minus other employment costs such as recruitment, training, temporary help and meals (which was 1.2% and 1.1% of adjusted net revenues for the three months ended June 30, 2026 and June 30, 2025, and 1.1% and 1.0% of adjusted net revenues for the six months ended June 30, 2026 and June 30, 2025, respectively), and excludes the impact of mark-to-market vesting expense, as well as dividends and interest expense, associated with employee incentive compensation-related investments and the amortization expense associated with the awards issued by EQH to some of our firm's executive officers relating to their roles as members of the EQH Management Committee. Senior management, with the approval of the Compensation Committee, has established as an objective that adjusted employee compensation and benefits expense, excluding the impact of performance-based fees, generally should not exceed 50.0% of our adjusted net revenues in any year, except in unexpected or unusual circumstances. Our ratio of adjusted compensation expense as a percentage of adjusted net revenues was 48.5% for the three and six months ended June 30, 2026 and June 30, 2025.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employee compensation and benefits expense increased $31.6 million, or 7.2%, compared to the three months ended June 30, 2025, primarily due to higher incentive compensation of $19.3 million, higher commissions of $9.3 million and higher base compensation of $2.4 million. For the six months ended June 30, 2026, employee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increased $78.6 million, or 9.1%, compared to the six months ended June 30, 2025, due to higher incentive compensation of $39.5 million, higher commissions of $22.1 million, higher base compensation of $7.7 million, higher fringe benefits of $6.5 million and higher other employment costs of $2.7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Promotion and Servicing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 and servicing expenses include distribution-related payments to financial intermediaries for distribution of AB mutual funds and amortization of deferred sales commissions paid to financial intermediaries for the sale of back-end load shares of AB mutual funds. Also included in this expense category are costs related to trade execution and clearance, travel and entertainment, advertising and promotional materials.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 and servicing expenses decreased $2.2 million, or 0.8%, during the three months ended June 30, 2026 compared to the three months ended June 30, 2025. The slight decrease was primarily due to lower distribution-related payments of $3.4 million, partially offset by higher transfer fees of $0.5 million and higher marketing and communication expense of $0.4 million. Promotion and servicing expenses decreased $0.9 million, or 0.2%, during the six months ended June 30, 2026 compared to the six months ended June 30, 2025. The decrease was primarily due to lower distribution-related payments of $7.5 million, partially offset by higher marketing and communication expense of $3.6 million and higher travel and entertainment expenses of $2.8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portfolio services expenses, technology expenses, professional fees and office-related expenses (occupancy, communications and similar expenses). General and administrative expenses as a percentage of net revenues were 11.5% and 13.6% for the three months ended June 30, 2026 and 2025, respectively. General and administrative expenses as a percentage of net revenues were 11.2% and 13.6% for the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$12.9 million, or 8.7%, during the three months ended June 30, 2026 compared to the three months ended June 30, 2025, primarily due to a $14.3 million AB Funds reimbursement expense related to a disputed billing practice of a third-party service provider in the prior year quarter, a favorable foreign exchange impact of $5.2 million and lower portfolio services and related expenses of $2.8 million, partially offset by higher technology and related expenses of $4.5 million and office-related expenses of $2.0 million. General and administrative expenses decreased $30.4 million, or 10.3%, during the six months ended June 30, 2026 compared to the six months ended June 30, 2025, primarily due to a retirement plan settlement loss of $20.8 million in 2025, a $14.3 million AB Funds reimbursement expense related to a disputed billing practice of a third-party service provider in 2025, a favorable foreign exchange impact of $5.6 million and lower portfolio services and related expenses of $2.9 million, partially offset by higher technology and related expenses of $6.4 million, higher office-related expenses of $4.6 million and higher professional fees of $2.6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on Borrowings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 on borrowings reflects interest expense related to our debt and credit facilities. </w:t>
      </w:r>
      <w:r>
        <w:rPr>
          <w:rFonts w:ascii="Times New Roman;serif" w:hAnsi="Times New Roman;serif"/>
          <w:b w:val="false"/>
          <w:i/>
          <w:color w:val="000000"/>
          <w:sz w:val="20"/>
        </w:rPr>
        <w:t>See Note 16 to AB's condensed consolidated financial statements contained in Item 1</w:t>
      </w:r>
      <w:r>
        <w:rPr>
          <w:rFonts w:ascii="Times New Roman;serif" w:hAnsi="Times New Roman;serif"/>
          <w:b w:val="false"/>
          <w:color w:val="000000"/>
          <w:sz w:val="20"/>
        </w:rPr>
        <w:t>, for disclosures relating to our debt and credit facilities. For the three months ended June 30, 2026 interest on borrowings decreased $1.4 million, or 16.1%, compared to the three months ended June 30, 2025. The decrease was primarily due to lower weighted average interest rates and lower weighted average borrowings. For the six months ended June 30, 2026 interest on borrowings decreased $1.3 million, or 8.3%, compared to the six months ended June 30, 2025. The decrease was primarily due to lower weighted average interest rates, partially offset by higher weighted average borrowings.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Amortization of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reflects our amortization of costs assigned to acquired investment management contracts with a finite life. These assets are recognized at fair value and generally are amortized on a straight-line basis over their estimated useful life. Amortization of intangible assets decreased $0.1 million during the three months ended June 30, 2026 compared to the three months ended June 30, 2025. Amortization of intangible assets decreased $0.2 million during the six months ended June 30, 2026 compared to the six months ended June 30, 2025.</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 private limited partnership, is not subject to federal or state corporate income taxes. However, AB is subject to a 4.0% New York City unincorporated business tax (“UBT”). Our domestic corporate subsidiaries are subject to federal, state and local income taxes and generally are included in the filing of a consolidated federal income tax return. Separate state and local income tax returns also are filed. Foreign corporate subsidiaries generally are subject to taxes in the jurisdictions where they are located.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three months ended June 30, 2026 increased $2.0 million, or 13.3%, compared to the three months ended June 30, 2025. The increase was primarily due to higher pre-tax income. Income tax expense for the six months ended June 30, 2026 increased $5.5 million, or 18.5%, compared to the six months ended June 30, 2025. The increase was primarily due to higher pre-tax income. There were no material changes to uncertain tax positions (FIN 48 reserves) or valuation allowances against deferred tax assets for the three and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of Consolidated Entities Attributable to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of consolidated entities attributable to non-controlling interests primarily consists of limited partner interests owned by other investors in our consolidated company-sponsored investment funds and certain other investments. For the three months ended June 30, 2026, we had $17.1 million of net income of consolidated entities attributable to non-controlling interests compared to net losses of $3.2 million for the three months ended June 30, 2025. The increase is driven by higher net income of a consolidated investment attributable to limited partnership interest owned by non-controlling investors. For the six months ended June 30, 2026, we had $30.3 million of net income of consolidated entities attributable to non-controlling interests compared to net losses of $2.3 million for the six months ended June 30, 2025. The increase is driven by higher net income of a consolidated investment attributable to limited partnership interest owned by non-controlling investors.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primarily include the receipt of investment advisory and services fees and other revenues offset by the payment of operating expenses incurred in the normal course of business. Our cash flows from operating activities have historically been positive and sufficient in supporting our operations. We do not anticipate this to change in the foreseeable future. Cash flows from investing activities generally consist of small capital expenditures and, when applicable, business acquisitions. Cash flows from financing activities primarily consist of issuance and repayment of debt and the repurchase of AB Holding Units for our long-term deferred compensation plans. We are required to distribute all of our Available Cash Flow to our Unitholders and the General Partner.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provided by operating activities was $950.1 million compared to net cash provided by operating activities of $489.8 million during the corresponding 2025 period. The increase is primarily due to a decrease in net broker dealer assets of $230.6 million, the net activity of our consolidated company-sponsored investment funds of $188.3 million, a decrease in investments of $135.3 million and an increase in net income of $88.4 million (net of non cash adjustments), partially offset by a decrease in accounts payable and accrued liabilities of $92.7 million and an increase in fees receivable of $74.6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used in investing activities was $21.0 million, compared to net cash used in investing activities of $18.2 million during the corresponding 2025 period. The change is due to higher purchases of furniture, equipment and leasehold improvements of $2.8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used in financing activities was $818.2 million, compared to net cash used in financing activities of $491.7 million during the corresponding 2025 period. The change is primarily due to a decrease in third-party capital invested into consolidated company-sponsored investment funds, net $194.0 million and an increase in debt repayments of $170.0 million, partially offset by lower cash distributions to Unitholders of $19.8 million and a decrease in purchases of AB Holding Units to fund long term incentive compensation of $15.9 million.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AB had $896.5 million of cash and cash equivalents (excluding cash and cash equivalents of consolidated company-sponsored investment funds), all of which is available for liquidity but consists primarily of cash on deposit for our broker-dealers related to various customer clearing activities, and cash held by foreign subsidiaries of $375.4 million.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16 to AB’s condensed consolidated financial statements contained in Item 1,</w:t>
      </w:r>
      <w:r>
        <w:rPr>
          <w:color w:val="000000"/>
        </w:rPr>
        <w:t xml:space="preserve"> </w:t>
      </w:r>
      <w:r>
        <w:rPr>
          <w:rFonts w:ascii="Times New Roman;serif" w:hAnsi="Times New Roman;serif"/>
          <w:b w:val="false"/>
          <w:color w:val="000000"/>
          <w:sz w:val="20"/>
        </w:rPr>
        <w:t>for disclosures relating to our debt and credit facilities. We use our debt and credit facilities to seed certain new investment products which may expose us to market risk, credit risk and material gains and losses. To reduce our exposure, we enter into various futures, forwards, options and swaps primarily to economically hedge certain of our seed money investments. While in most cases broad market risks are hedged and are effective in reducing our exposure, our hedges are imperfect and we may remain exposed to some market risk and credit-related losses in the event of non-performance by counterparties on these derivative instruments.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Our financial condition and access to public and private debt markets should provide adequate liquidity for our general business needs. Management believes that cash flow from operations and the issuance of debt and AB Units or AB Holding Units will provide us with the resources we need to meet our financial obligations. See “</w:t>
      </w:r>
      <w:r>
        <w:rPr>
          <w:rFonts w:ascii="Times New Roman;serif" w:hAnsi="Times New Roman;serif"/>
          <w:b w:val="false"/>
          <w:i/>
          <w:color w:val="000000"/>
          <w:sz w:val="20"/>
        </w:rPr>
        <w:t>Cautions Regarding Forward-Looking Statements</w:t>
      </w:r>
      <w:r>
        <w:rPr>
          <w:color w:val="000000"/>
        </w:rPr>
        <w:t xml:space="preserve">” </w:t>
      </w:r>
      <w:r>
        <w:rPr>
          <w:rFonts w:ascii="Times New Roman;serif" w:hAnsi="Times New Roman;serif"/>
          <w:b w:val="false"/>
          <w:color w:val="000000"/>
          <w:sz w:val="20"/>
        </w:rPr>
        <w:t>for a discussion of credit markets and our ability to renew our credit facilities at expiration.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AB’s capital commitments, which consist primarily of operating leases for office space, generally are funded from future operating cash flows. </w:t>
      </w:r>
      <w:r>
        <w:rPr>
          <w:rFonts w:ascii="Times New Roman;serif" w:hAnsi="Times New Roman;serif"/>
          <w:b w:val="false"/>
          <w:i/>
          <w:color w:val="000000"/>
          <w:sz w:val="20"/>
        </w:rPr>
        <w:t>See Note 13</w:t>
      </w:r>
      <w:r>
        <w:rPr>
          <w:color w:val="000000"/>
        </w:rPr>
        <w:t xml:space="preserve"> </w:t>
      </w:r>
      <w:r>
        <w:rPr>
          <w:rFonts w:ascii="Times New Roman;serif" w:hAnsi="Times New Roman;serif"/>
          <w:b w:val="false"/>
          <w:color w:val="000000"/>
          <w:sz w:val="20"/>
        </w:rPr>
        <w:t>for discussion of lease commitments.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See Note 12</w:t>
      </w:r>
      <w:r>
        <w:rPr>
          <w:color w:val="000000"/>
        </w:rPr>
        <w:t xml:space="preserve"> </w:t>
      </w:r>
      <w:r>
        <w:rPr>
          <w:rFonts w:ascii="Times New Roman;serif" w:hAnsi="Times New Roman;serif"/>
          <w:b w:val="false"/>
          <w:color w:val="000000"/>
          <w:sz w:val="20"/>
        </w:rPr>
        <w:t>for discussion of commitments and contingencies</w:t>
      </w:r>
      <w:r>
        <w:rPr>
          <w:rFonts w:ascii="Times New Roman;serif" w:hAnsi="Times New Roman;serif"/>
          <w:b w:val="false"/>
          <w:i/>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and notes to condensed consolidated financial statements requires management to make estimates and judgments that affect the reported amounts of assets, liabilities, revenues and expenses.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There have been no updates to our critical accounting estimates during the second quarter of 2026 from those disclosed in </w:t>
      </w:r>
      <w:r>
        <w:rPr>
          <w:color w:val="000000"/>
        </w:rPr>
        <w:t>“</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in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2 to AB’s condensed consolidated financial statements contained in Item 1</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CAUTIONS REGARDING FORWARD-LOOKING STATEMENTS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Certain statements provided by management in this report and in the portion of AB’s Form 10-Q attached hereto as </w:t>
      </w:r>
      <w:r>
        <w:rPr>
          <w:rFonts w:ascii="Times New Roman;serif" w:hAnsi="Times New Roman;serif"/>
          <w:b w:val="false"/>
          <w:i/>
          <w:color w:val="000000"/>
          <w:sz w:val="20"/>
        </w:rPr>
        <w:t>Exhibit 99.1</w:t>
      </w:r>
      <w:r>
        <w:rPr>
          <w:color w:val="000000"/>
        </w:rPr>
        <w:t xml:space="preserve"> </w:t>
      </w:r>
      <w:r>
        <w:rPr>
          <w:rFonts w:ascii="Times New Roman;serif" w:hAnsi="Times New Roman;serif"/>
          <w:b w:val="false"/>
          <w:color w:val="000000"/>
          <w:sz w:val="20"/>
        </w:rPr>
        <w:t>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 managed accounts, general economic conditions, the impact of tariffs and potential disruptions in international trade on financial markets, product and account performance, asset levels and economic conditions, industry trends, future acquisitions, integration of acquired companies, competitive conditions and government regulations, including changes in tax regulations and rates and the manner in which the earnings of publicly-traded partnerships are taxed. We caution readers to carefully consider such factors. Further, these forward-looking statements speak only as of the date on which such statements are made; we undertake no obligation to update any forward-looking statements to reflect events or circumstances after the date of such statements. For further information regarding these forward-looking statements and the factors that could cause actual results to differ,</w:t>
      </w:r>
      <w:r>
        <w:rPr>
          <w:color w:val="000000"/>
        </w:rPr>
        <w:t> </w:t>
      </w:r>
      <w:r>
        <w:rPr>
          <w:rFonts w:ascii="Times New Roman;serif" w:hAnsi="Times New Roman;serif"/>
          <w:b w:val="false"/>
          <w:i/>
          <w:color w:val="000000"/>
          <w:sz w:val="20"/>
        </w:rPr>
        <w:t>see “Risk Factors” in Part I, Item 1A</w:t>
      </w:r>
      <w:r>
        <w:rPr>
          <w:color w:val="000000"/>
        </w:rPr>
        <w:t xml:space="preserve"> </w:t>
      </w:r>
      <w:r>
        <w:rPr>
          <w:rFonts w:ascii="Times New Roman;serif" w:hAnsi="Times New Roman;serif"/>
          <w:b w:val="false"/>
          <w:color w:val="000000"/>
          <w:sz w:val="20"/>
        </w:rPr>
        <w:t xml:space="preserve">of our Form 10-K for the year ended December 31, 2025 </w:t>
      </w:r>
      <w:r>
        <w:rPr>
          <w:rFonts w:ascii="Times New Roman;serif" w:hAnsi="Times New Roman;serif"/>
          <w:b w:val="false"/>
          <w:i/>
          <w:color w:val="000000"/>
          <w:sz w:val="20"/>
        </w:rPr>
        <w:t>and Part II, Item 1A</w:t>
      </w:r>
      <w:r>
        <w:rPr>
          <w:color w:val="000000"/>
        </w:rPr>
        <w:t> </w:t>
      </w:r>
      <w:r>
        <w:rPr>
          <w:rFonts w:ascii="Times New Roman;serif" w:hAnsi="Times New Roman;serif"/>
          <w:b w:val="false"/>
          <w:color w:val="000000"/>
          <w:sz w:val="20"/>
        </w:rPr>
        <w:t xml:space="preserve">in this Form 10-Q. Any or all of the forward-looking statements that we make in our Form 10-K, this Form 10-Q, other documents we file with or furnish to the SEC, and any other public statements we issue, may turn out to be wrong. It is important to remember that other factors besides </w:t>
      </w:r>
      <w:r>
        <w:rPr>
          <w:rFonts w:ascii="Times New Roman;serif" w:hAnsi="Times New Roman;serif"/>
          <w:b w:val="false"/>
          <w:i/>
          <w:color w:val="000000"/>
          <w:sz w:val="20"/>
        </w:rPr>
        <w:t>those listed in “Risk Factors” and those listed below</w:t>
      </w:r>
      <w:r>
        <w:rPr>
          <w:color w:val="000000"/>
        </w:rPr>
        <w:t xml:space="preserve"> </w:t>
      </w:r>
      <w:r>
        <w:rPr>
          <w:rFonts w:ascii="Times New Roman;serif" w:hAnsi="Times New Roman;serif"/>
          <w:b w:val="false"/>
          <w:color w:val="000000"/>
          <w:sz w:val="20"/>
        </w:rPr>
        <w:t>could also adversely impact our revenues, financial condition, results of operations and business prospects.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forward-looking statements referred to in </w:t>
      </w:r>
      <w:r>
        <w:rPr>
          <w:rFonts w:ascii="Times New Roman;serif" w:hAnsi="Times New Roman;serif"/>
          <w:b w:val="false"/>
          <w:i/>
          <w:color w:val="000000"/>
          <w:sz w:val="20"/>
        </w:rPr>
        <w:t>the preceding paragraph</w:t>
      </w:r>
      <w:r>
        <w:rPr>
          <w:rFonts w:ascii="Times New Roman;serif" w:hAnsi="Times New Roman;serif"/>
          <w:b w:val="false"/>
          <w:color w:val="000000"/>
          <w:sz w:val="20"/>
        </w:rPr>
        <w:t>, most of which directly affect AB and may also affect AB Holding because AB Holding’s principal source of income and cash flow is attributable to its investment in AB, include statements regarding:</w:t>
      </w:r>
    </w:p>
    <w:p>
      <w:pPr>
        <w:pStyle w:val="TextBody"/>
        <w:bidi w:val="0"/>
        <w:spacing w:before="0" w:after="0"/>
        <w:jc w:val="both"/>
        <w:rPr/>
      </w:pPr>
      <w:r>
        <w:rPr/>
      </w:r>
    </w:p>
    <w:p>
      <w:pPr>
        <w:pStyle w:val="TextBody"/>
        <w:bidi w:val="0"/>
        <w:spacing w:lineRule="auto" w:line="288"/>
        <w:ind w:left="0" w:right="0" w:hanging="180"/>
        <w:jc w:val="both"/>
        <w:rPr/>
      </w:pPr>
      <w:r>
        <w:rPr>
          <w:color w:val="000000"/>
        </w:rPr>
        <w:t>•</w:t>
      </w:r>
      <w:r>
        <w:rPr>
          <w:rFonts w:ascii="Times New Roman;serif" w:hAnsi="Times New Roman;serif"/>
          <w:b w:val="false"/>
          <w:color w:val="000000"/>
          <w:sz w:val="20"/>
          <w:u w:val="single"/>
        </w:rPr>
        <w:t>Our belief that the cash flow AB Holding realizes from its investment in AB will provide AB Holding with the resources it needs to meet its financial obligations:</w:t>
      </w:r>
      <w:r>
        <w:rPr>
          <w:color w:val="000000"/>
        </w:rPr>
        <w:t xml:space="preserve"> </w:t>
      </w:r>
      <w:r>
        <w:rPr>
          <w:rFonts w:ascii="Times New Roman;serif" w:hAnsi="Times New Roman;serif"/>
          <w:b w:val="false"/>
          <w:color w:val="000000"/>
          <w:sz w:val="20"/>
        </w:rPr>
        <w:t xml:space="preserve">AB Holding’s cash flow is dependent on the quarterly cash distributions it receives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AB. Accordingly, AB Holding’s ability to meet its financial obligations is dependent on AB’s cash flow from its operations, which is subject to the performance of the capital markets and other factors beyond our control.</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financial condition and ability to access the public and private capital markets providing adequate liquidity for our general business needs:</w:t>
      </w:r>
      <w:r>
        <w:rPr>
          <w:color w:val="000000"/>
        </w:rPr>
        <w:t xml:space="preserve"> </w:t>
      </w:r>
      <w:r>
        <w:rPr>
          <w:rFonts w:ascii="Times New Roman;serif" w:hAnsi="Times New Roman;serif"/>
          <w:b w:val="false"/>
          <w:color w:val="000000"/>
          <w:sz w:val="20"/>
        </w:rPr>
        <w:t>Our financial condition is dependent on our cash flow from operations, which is subject to the performance of the capital markets, our ability to maintain and grow client assets under management and other factors beyond our control. Our ability to access public and private capital markets on reasonable terms may be limited by adverse market conditions, our firm’s credit ratings, our profitability and changes in government regulations, including tax rates and interest rates.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The outcome of litigation:</w:t>
      </w:r>
      <w:r>
        <w:rPr>
          <w:color w:val="000000"/>
        </w:rPr>
        <w:t xml:space="preserve"> </w:t>
      </w:r>
      <w:r>
        <w:rPr>
          <w:rFonts w:ascii="Times New Roman;serif" w:hAnsi="Times New Roman;serif"/>
          <w:b w:val="false"/>
          <w:color w:val="000000"/>
          <w:sz w:val="20"/>
        </w:rPr>
        <w:t>Litigation is inherently unpredictable and excessive damage awards do occur. Though we have stated that we do not expect any pending legal proceedings to have a material adverse effect on our results of operations, financial condition or liquidity, any settlement or judgment with respect to a legal proceeding could be significant and could have such an effect.</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The possibility that we will engage in open market purchases of AB Holding Units for anticipated obligations under our incentive compensation award program:</w:t>
      </w:r>
      <w:r>
        <w:rPr>
          <w:color w:val="000000"/>
        </w:rPr>
        <w:t xml:space="preserve"> </w:t>
      </w:r>
      <w:r>
        <w:rPr>
          <w:rFonts w:ascii="Times New Roman;serif" w:hAnsi="Times New Roman;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determination that adjusted employee compensation expense, excluding the impact of performance-based fees, generally should not exceed 50% of our adjusted net revenues on an annual basis:</w:t>
      </w:r>
      <w:r>
        <w:rPr>
          <w:color w:val="000000"/>
        </w:rPr>
        <w:t xml:space="preserve"> </w:t>
      </w:r>
      <w:r>
        <w:rPr>
          <w:rFonts w:ascii="Times New Roman;serif" w:hAnsi="Times New Roman;serif"/>
          <w:b w:val="false"/>
          <w:color w:val="000000"/>
          <w:sz w:val="20"/>
        </w:rPr>
        <w:t>Aggregate employee compensation reflects employee performance and competitive compensation levels.  Fluctuations in our revenues and/or changes in competitive compensation levels could result in adjusted employee compensation expense exceeding 50% of our adjusted net revenues.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initiative to replace our investment management technology:</w:t>
      </w:r>
      <w:r>
        <w:rPr>
          <w:color w:val="000000"/>
        </w:rPr>
        <w:t xml:space="preserve"> </w:t>
      </w:r>
      <w:r>
        <w:rPr>
          <w:rFonts w:ascii="Times New Roman;serif" w:hAnsi="Times New Roman;serif"/>
          <w:b w:val="false"/>
          <w:color w:val="000000"/>
          <w:sz w:val="20"/>
        </w:rPr>
        <w:t>While we believe that our initiative to replace our existing investment management technology will result in long term savings to the business based on reasonable assumptions as of the date of this report, the duration and complexity of the project creates a significant risk that our current assumptions may not be realized.</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3.     </w:t>
      </w:r>
      <w:r>
        <w:rPr>
          <w:rFonts w:ascii="Times New Roman;serif" w:hAnsi="Times New Roman;serif"/>
          <w:b/>
          <w:color w:val="000000"/>
          <w:sz w:val="20"/>
          <w:u w:val="single"/>
        </w:rPr>
        <w:t>Quantitative and Qualitative Disclosures About Market Risk</w: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val="false"/>
          <w:color w:val="000000"/>
          <w:sz w:val="20"/>
        </w:rPr>
        <w:t xml:space="preserve">There have been no material changes in AB’s market risk during the second quarter of 2026 from the information provided under </w:t>
      </w:r>
      <w:r>
        <w:rPr>
          <w:color w:val="000000"/>
        </w:rPr>
        <w:t>“</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 Part II, Item 7A of AB's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4.     </w:t>
      </w:r>
      <w:r>
        <w:rPr>
          <w:rFonts w:ascii="Times New Roman;serif" w:hAnsi="Times New Roman;serif"/>
          <w:b/>
          <w:color w:val="000000"/>
          <w:sz w:val="20"/>
          <w:u w:val="single"/>
        </w:rPr>
        <w:t>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and AB maintain a system of disclosure controls and procedures that is designed to ensure that information required to be disclosed in our reports under the Exchange Act is (i) recorded, processed, summarized and reported in a timely manner, and (ii) accumulated and communicated to management, including the Chief Executive Officer ("CEO") and the Chief Financial Officer ("CFO"), to permit timely decisions regarding our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management carried out an evaluation, under the supervision and with the participation of the CEO and the CFO, of the effectiveness of the design and operation of the disclosure controls and procedures. Based on this evaluation, the CEO and the CFO concluded that the disclosure controls and procedures are effective.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completed the implementation of a new accounting and financial reporting software system (the "software system"). As part of this implementation, the Company updated its internal controls over financial reporting to address changes in business processes resulting from the new software system. There were no other changes in our internal control over financial reporting that occurred during the six months ended June 30, 2026, that have materially affected, or are reasonably likely to have materially affected, our internal control over financial reporting.</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30728</Words>
  <Characters>171720</Characters>
  <CharactersWithSpaces>199975</CharactersWithSpaces>
  <Paragraphs>5213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